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Its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tx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Since this is a RAN4 leaded WI, we prefer not to deprioitize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vivo’s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We expect RAN4 to lead the discussions and coordinate with RAN1 if they need support from us. However, we are not sure what deprioritization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deprioritization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We think given the limited TU, maybe anyway deprioritization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r>
              <w:rPr>
                <w:lang w:eastAsia="ja-JP"/>
              </w:rPr>
              <w:t>InterDigital</w:t>
            </w:r>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The LS could bring some clarity to what RAN1 might study.  RAN1 is not the right place to define power classes or high power limit behaviors,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r>
              <w:rPr>
                <w:lang w:eastAsia="ja-JP"/>
              </w:rPr>
              <w:t>InterDigital</w:t>
            </w:r>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p</w:t>
                  </w:r>
                  <w:r>
                    <w:rPr>
                      <w:rFonts w:eastAsia="Yu Mincho"/>
                      <w:sz w:val="16"/>
                      <w:szCs w:val="16"/>
                      <w:vertAlign w:val="subscript"/>
                      <w:lang w:bidi="bn-IN"/>
                    </w:rPr>
                    <w:t>EMAX,c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r>
                    <w:rPr>
                      <w:rFonts w:eastAsia="SimSun"/>
                      <w:sz w:val="16"/>
                      <w:szCs w:val="16"/>
                      <w:lang w:eastAsia="zh-CN" w:bidi="bn-IN"/>
                    </w:rPr>
                    <w:t>)</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(MAX(mpr</w:t>
                  </w:r>
                  <w:r>
                    <w:rPr>
                      <w:rFonts w:eastAsia="Yu Mincho"/>
                      <w:sz w:val="16"/>
                      <w:szCs w:val="16"/>
                      <w:vertAlign w:val="subscript"/>
                      <w:lang w:bidi="bn-IN"/>
                    </w:rPr>
                    <w:t>c</w:t>
                  </w:r>
                  <w:r>
                    <w:rPr>
                      <w:rFonts w:eastAsia="Yu Mincho"/>
                      <w:sz w:val="16"/>
                      <w:szCs w:val="16"/>
                      <w:lang w:bidi="bn-IN"/>
                    </w:rPr>
                    <w:t>·</w:t>
                  </w:r>
                  <w:r>
                    <w:rPr>
                      <w:rFonts w:eastAsia="Yu Mincho"/>
                      <w:sz w:val="16"/>
                      <w:szCs w:val="16"/>
                      <w:lang w:eastAsia="zh-CN"/>
                    </w:rPr>
                    <w:t>∆mpr</w:t>
                  </w:r>
                  <w:r>
                    <w:rPr>
                      <w:rFonts w:eastAsia="Yu Mincho"/>
                      <w:sz w:val="16"/>
                      <w:szCs w:val="16"/>
                      <w:vertAlign w:val="subscript"/>
                      <w:lang w:eastAsia="zh-CN"/>
                    </w:rPr>
                    <w:t>c</w:t>
                  </w:r>
                  <w:r>
                    <w:rPr>
                      <w:rFonts w:eastAsia="Yu Mincho"/>
                      <w:sz w:val="16"/>
                      <w:szCs w:val="16"/>
                      <w:lang w:bidi="bn-IN"/>
                    </w:rPr>
                    <w:t>, a-mpr</w:t>
                  </w:r>
                  <w:r>
                    <w:rPr>
                      <w:rFonts w:eastAsia="Yu Mincho"/>
                      <w:sz w:val="16"/>
                      <w:szCs w:val="16"/>
                      <w:vertAlign w:val="subscript"/>
                      <w:lang w:bidi="bn-IN"/>
                    </w:rPr>
                    <w:t>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bidi="bn-IN"/>
                    </w:rPr>
                    <w:t xml:space="preserve">C,c </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SimSun"/>
                      <w:sz w:val="16"/>
                      <w:szCs w:val="16"/>
                      <w:vertAlign w:val="subscript"/>
                      <w:lang w:eastAsia="zh-CN" w:bidi="bn-IN"/>
                    </w:rPr>
                    <w:t>IB,c</w:t>
                  </w:r>
                  <w:r>
                    <w:rPr>
                      <w:rFonts w:eastAsia="Yu Mincho"/>
                      <w:sz w:val="16"/>
                      <w:szCs w:val="16"/>
                      <w:lang w:bidi="bn-IN"/>
                    </w:rPr>
                    <w:t>·</w:t>
                  </w:r>
                  <w:r>
                    <w:rPr>
                      <w:rFonts w:ascii="Symbol" w:eastAsia="Yu Mincho" w:hAnsi="Symbol"/>
                      <w:sz w:val="16"/>
                      <w:szCs w:val="16"/>
                      <w:lang w:bidi="bn-IN"/>
                    </w:rPr>
                    <w:t></w:t>
                  </w:r>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PowerClass,c</w:t>
                  </w:r>
                  <w:r>
                    <w:rPr>
                      <w:rFonts w:eastAsia="Yu Mincho"/>
                      <w:sz w:val="16"/>
                      <w:szCs w:val="16"/>
                    </w:rPr>
                    <w:t>/</w:t>
                  </w:r>
                  <w:r>
                    <w:rPr>
                      <w:rFonts w:eastAsia="Yu Mincho"/>
                      <w:sz w:val="16"/>
                      <w:szCs w:val="16"/>
                      <w:lang w:bidi="bn-IN"/>
                    </w:rPr>
                    <w:t>pmpr</w:t>
                  </w:r>
                  <w:r>
                    <w:rPr>
                      <w:rFonts w:eastAsia="Yu Mincho"/>
                      <w:sz w:val="16"/>
                      <w:szCs w:val="16"/>
                      <w:vertAlign w:val="subscript"/>
                      <w:lang w:bidi="bn-IN"/>
                    </w:rPr>
                    <w:t>c</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MIN{</w:t>
                  </w:r>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r>
                    <w:rPr>
                      <w:rFonts w:eastAsia="Yu Mincho"/>
                      <w:sz w:val="16"/>
                      <w:szCs w:val="16"/>
                      <w:lang w:bidi="bn-IN"/>
                    </w:rPr>
                    <w:t>p</w:t>
                  </w:r>
                  <w:r>
                    <w:rPr>
                      <w:rFonts w:eastAsia="Yu Mincho"/>
                      <w:sz w:val="16"/>
                      <w:szCs w:val="16"/>
                      <w:vertAlign w:val="subscript"/>
                      <w:lang w:bidi="bn-IN"/>
                    </w:rPr>
                    <w:t xml:space="preserve">EMAX,c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r>
                    <w:rPr>
                      <w:rFonts w:eastAsia="Yu Mincho"/>
                      <w:sz w:val="16"/>
                      <w:szCs w:val="16"/>
                      <w:lang w:bidi="bn-IN"/>
                    </w:rPr>
                    <w:t>p</w:t>
                  </w:r>
                  <w:r>
                    <w:rPr>
                      <w:rFonts w:eastAsia="Yu Mincho"/>
                      <w:sz w:val="16"/>
                      <w:szCs w:val="16"/>
                      <w:vertAlign w:val="subscript"/>
                      <w:lang w:bidi="bn-IN"/>
                    </w:rPr>
                    <w:t>EMAX,c</w:t>
                  </w:r>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PowerClass,CA</w:t>
                  </w:r>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 xml:space="preserve">If the UE indicates [HigherPowerLimitCADC] for an eligible CA configuration as specified in Table 6.2A.1.3-1 and </w:t>
                  </w:r>
                  <w:r>
                    <w:rPr>
                      <w:rFonts w:eastAsia="Yu Mincho"/>
                      <w:sz w:val="16"/>
                      <w:szCs w:val="16"/>
                      <w:highlight w:val="yellow"/>
                      <w:lang w:eastAsia="zh-CN"/>
                    </w:rPr>
                    <w:t>ΔP</w:t>
                  </w:r>
                  <w:r>
                    <w:rPr>
                      <w:rFonts w:eastAsia="Yu Mincho"/>
                      <w:sz w:val="16"/>
                      <w:szCs w:val="16"/>
                      <w:highlight w:val="yellow"/>
                      <w:vertAlign w:val="subscript"/>
                      <w:lang w:eastAsia="zh-CN"/>
                    </w:rPr>
                    <w:t>PowerClass, CA</w:t>
                  </w:r>
                  <w:r>
                    <w:rPr>
                      <w:rFonts w:eastAsia="Yu Mincho"/>
                      <w:sz w:val="16"/>
                      <w:szCs w:val="16"/>
                      <w:highlight w:val="yellow"/>
                      <w:lang w:eastAsia="zh-CN"/>
                    </w:rPr>
                    <w:t xml:space="preserve"> = 0, </w:t>
                  </w:r>
                  <w:r>
                    <w:rPr>
                      <w:rFonts w:eastAsia="Yu Mincho"/>
                      <w:sz w:val="16"/>
                      <w:szCs w:val="16"/>
                      <w:highlight w:val="yellow"/>
                      <w:lang w:bidi="bn-IN"/>
                    </w:rPr>
                    <w:t>P</w:t>
                  </w:r>
                  <w:r>
                    <w:rPr>
                      <w:rFonts w:eastAsia="Yu Mincho"/>
                      <w:sz w:val="16"/>
                      <w:szCs w:val="16"/>
                      <w:highlight w:val="yellow"/>
                      <w:vertAlign w:val="subscript"/>
                      <w:lang w:bidi="bn-IN"/>
                    </w:rPr>
                    <w:t>PowerClass,CA</w:t>
                  </w:r>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p</w:t>
                  </w:r>
                  <w:r>
                    <w:rPr>
                      <w:rFonts w:eastAsia="Yu Mincho"/>
                      <w:sz w:val="16"/>
                      <w:szCs w:val="16"/>
                      <w:highlight w:val="yellow"/>
                      <w:vertAlign w:val="subscript"/>
                    </w:rPr>
                    <w:t>PowerClass,c.</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t>p</w:t>
                  </w:r>
                  <w:r>
                    <w:rPr>
                      <w:rFonts w:eastAsia="Yu Mincho"/>
                      <w:sz w:val="16"/>
                      <w:szCs w:val="16"/>
                      <w:vertAlign w:val="subscript"/>
                      <w:lang w:bidi="bn-IN"/>
                    </w:rPr>
                    <w:t>PowerClass,c</w:t>
                  </w:r>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[powerClassPerBand] if indicated or ue-PowerClass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t>ΔP</w:t>
                  </w:r>
                  <w:r>
                    <w:rPr>
                      <w:rFonts w:eastAsia="Yu Mincho"/>
                      <w:sz w:val="16"/>
                      <w:szCs w:val="16"/>
                      <w:highlight w:val="cyan"/>
                      <w:vertAlign w:val="subscript"/>
                      <w:lang w:eastAsia="zh-CN"/>
                    </w:rPr>
                    <w:t>PowerClass,CA</w:t>
                  </w:r>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3; otherwise ΔP</w:t>
                  </w:r>
                  <w:r>
                    <w:rPr>
                      <w:rFonts w:eastAsia="Yu Mincho"/>
                      <w:sz w:val="16"/>
                      <w:szCs w:val="16"/>
                      <w:highlight w:val="cyan"/>
                      <w:vertAlign w:val="subscript"/>
                      <w:lang w:eastAsia="zh-CN"/>
                    </w:rPr>
                    <w:t>PowerClass</w:t>
                  </w:r>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p</w:t>
            </w:r>
            <w:r>
              <w:rPr>
                <w:rFonts w:eastAsia="Yu Mincho"/>
                <w:sz w:val="16"/>
                <w:szCs w:val="16"/>
                <w:vertAlign w:val="subscript"/>
                <w:lang w:eastAsia="zh-CN"/>
              </w:rPr>
              <w:t>PowerClass,c.</w:t>
            </w:r>
            <w:r>
              <w:rPr>
                <w:lang w:eastAsia="ja-JP"/>
              </w:rPr>
              <w:t xml:space="preserve">, if and only if UE supports [HigherPowerLimitCADC] capability and </w:t>
            </w:r>
            <w:r>
              <w:rPr>
                <w:rFonts w:eastAsia="Yu Mincho"/>
                <w:sz w:val="16"/>
                <w:szCs w:val="16"/>
                <w:lang w:eastAsia="zh-CN"/>
              </w:rPr>
              <w:t>ΔP</w:t>
            </w:r>
            <w:r>
              <w:rPr>
                <w:rFonts w:eastAsia="Yu Mincho"/>
                <w:sz w:val="16"/>
                <w:szCs w:val="16"/>
                <w:vertAlign w:val="subscript"/>
                <w:lang w:eastAsia="zh-CN"/>
              </w:rPr>
              <w:t>PowerClass, CA</w:t>
            </w:r>
            <w:r>
              <w:rPr>
                <w:rFonts w:eastAsia="Yu Mincho"/>
                <w:sz w:val="16"/>
                <w:szCs w:val="16"/>
                <w:lang w:eastAsia="zh-CN"/>
              </w:rPr>
              <w:t xml:space="preserve"> = 0</w:t>
            </w:r>
            <w:r>
              <w:rPr>
                <w:lang w:eastAsia="ja-JP"/>
              </w:rPr>
              <w:t xml:space="preserve">. The value of </w:t>
            </w:r>
            <w:r>
              <w:rPr>
                <w:rFonts w:eastAsia="Yu Mincho"/>
                <w:sz w:val="16"/>
                <w:szCs w:val="16"/>
                <w:lang w:eastAsia="zh-CN"/>
              </w:rPr>
              <w:t>ΔP</w:t>
            </w:r>
            <w:r>
              <w:rPr>
                <w:rFonts w:eastAsia="Yu Mincho"/>
                <w:sz w:val="16"/>
                <w:szCs w:val="16"/>
                <w:vertAlign w:val="subscript"/>
                <w:lang w:eastAsia="zh-CN"/>
              </w:rPr>
              <w:t>PowerClass,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.4;</w:t>
                  </w:r>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r>
                    <w:rPr>
                      <w:rFonts w:eastAsia="Yu Mincho"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Duty</w:t>
                  </w:r>
                  <w:r>
                    <w:rPr>
                      <w:rFonts w:eastAsia="SimSun"/>
                      <w:sz w:val="16"/>
                      <w:szCs w:val="16"/>
                      <w:vertAlign w:val="subscript"/>
                      <w:lang w:eastAsia="zh-CN"/>
                    </w:rPr>
                    <w:t>NR, x</w:t>
                  </w:r>
                  <w:r>
                    <w:rPr>
                      <w:rFonts w:eastAsia="SimSun"/>
                      <w:sz w:val="16"/>
                      <w:szCs w:val="16"/>
                      <w:lang w:eastAsia="zh-CN"/>
                    </w:rPr>
                    <w:t xml:space="preserve"> /</w:t>
                  </w:r>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r>
                    <w:rPr>
                      <w:rFonts w:eastAsia="SimSun"/>
                      <w:sz w:val="16"/>
                      <w:szCs w:val="16"/>
                      <w:lang w:eastAsia="zh-CN"/>
                    </w:rPr>
                    <w:t xml:space="preserve"> + Duty</w:t>
                  </w:r>
                  <w:r>
                    <w:rPr>
                      <w:rFonts w:eastAsia="SimSun"/>
                      <w:sz w:val="16"/>
                      <w:szCs w:val="16"/>
                      <w:vertAlign w:val="subscript"/>
                      <w:lang w:eastAsia="zh-CN"/>
                    </w:rPr>
                    <w:t>NR, y</w:t>
                  </w:r>
                  <w:r>
                    <w:rPr>
                      <w:rFonts w:eastAsia="SimSun"/>
                      <w:sz w:val="16"/>
                      <w:szCs w:val="16"/>
                      <w:lang w:eastAsia="zh-CN"/>
                    </w:rPr>
                    <w:t xml:space="preserve"> /</w:t>
                  </w:r>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r>
                    <w:rPr>
                      <w:rFonts w:eastAsia="SimSun"/>
                      <w:sz w:val="16"/>
                      <w:szCs w:val="16"/>
                      <w:lang w:eastAsia="zh-CN"/>
                    </w:rPr>
                    <w:t xml:space="preserve"> )</w:t>
                  </w:r>
                  <w:r>
                    <w:rPr>
                      <w:rFonts w:eastAsia="SimSun" w:hint="eastAsia"/>
                      <w:sz w:val="16"/>
                      <w:szCs w:val="16"/>
                      <w:lang w:eastAsia="zh-CN"/>
                    </w:rPr>
                    <w:t xml:space="preserve">. </w:t>
                  </w:r>
                  <w:r>
                    <w:rPr>
                      <w:rFonts w:eastAsia="SimSun"/>
                      <w:sz w:val="16"/>
                      <w:szCs w:val="16"/>
                      <w:lang w:eastAsia="zh-CN"/>
                    </w:rPr>
                    <w:t>Duty</w:t>
                  </w:r>
                  <w:r>
                    <w:rPr>
                      <w:rFonts w:eastAsia="SimSun" w:hint="eastAsia"/>
                      <w:sz w:val="16"/>
                      <w:szCs w:val="16"/>
                      <w:vertAlign w:val="subscript"/>
                      <w:lang w:eastAsia="zh-CN"/>
                    </w:rPr>
                    <w:t>NR, x</w:t>
                  </w:r>
                  <w:r>
                    <w:rPr>
                      <w:rFonts w:eastAsia="SimSun"/>
                      <w:sz w:val="16"/>
                      <w:szCs w:val="16"/>
                      <w:lang w:eastAsia="zh-CN"/>
                    </w:rPr>
                    <w:t>, Duty</w:t>
                  </w:r>
                  <w:r>
                    <w:rPr>
                      <w:rFonts w:eastAsia="SimSun"/>
                      <w:sz w:val="16"/>
                      <w:szCs w:val="16"/>
                      <w:vertAlign w:val="subscript"/>
                      <w:lang w:eastAsia="zh-CN"/>
                    </w:rPr>
                    <w:t>NR</w:t>
                  </w:r>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r>
                    <w:rPr>
                      <w:rFonts w:eastAsia="SimSun" w:hint="eastAsia"/>
                      <w:sz w:val="16"/>
                      <w:szCs w:val="16"/>
                      <w:lang w:eastAsia="zh-CN"/>
                    </w:rPr>
                    <w:t>,</w:t>
                  </w:r>
                  <w:r>
                    <w:rPr>
                      <w:rFonts w:eastAsia="SimSun" w:hint="eastAsia"/>
                      <w:sz w:val="16"/>
                      <w:szCs w:val="16"/>
                      <w:vertAlign w:val="subscript"/>
                      <w:lang w:eastAsia="zh-CN"/>
                    </w:rPr>
                    <w:t xml:space="preserve"> </w:t>
                  </w:r>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 xml:space="preserve">y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is absent;</w:t>
                  </w:r>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the corresponding maxDuty</w:t>
                  </w:r>
                  <w:r>
                    <w:rPr>
                      <w:rFonts w:eastAsia="Yu Mincho"/>
                      <w:sz w:val="16"/>
                      <w:szCs w:val="16"/>
                    </w:rPr>
                    <w:t xml:space="preserve">NR,x </w:t>
                  </w:r>
                  <w:r>
                    <w:rPr>
                      <w:rFonts w:eastAsia="Yu Mincho" w:hint="eastAsia"/>
                      <w:sz w:val="16"/>
                      <w:szCs w:val="16"/>
                    </w:rPr>
                    <w:t>or maxDuty</w:t>
                  </w:r>
                  <w:r>
                    <w:rPr>
                      <w:rFonts w:eastAsia="Yu Mincho"/>
                      <w:sz w:val="16"/>
                      <w:szCs w:val="16"/>
                    </w:rPr>
                    <w:t xml:space="preserve">NR,y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else if the band is configured with power class 3;</w:t>
                  </w:r>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the corresponding maxDutyNR,x or maxDutyNR,y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tx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RAN4 work on enabling 4 tx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@vivo, the entire power-domain enhancement topic is lead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r>
              <w:rPr>
                <w:lang w:eastAsia="zh-CN"/>
              </w:rPr>
              <w:t>InterDigital</w:t>
            </w:r>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behavior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gNB's point of view, not from the UE's point of view. </w:t>
            </w:r>
            <w:r w:rsidRPr="00922FC1">
              <w:rPr>
                <w:lang w:eastAsia="ja-JP"/>
              </w:rPr>
              <w:t xml:space="preserve">We think this is the reason for the opinion of vivo and other companies. However, if new signaling/report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In summary, Realizing increased UE power caps for CA and DC will introduce new problems from the gNB's point of view especialy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It’s not clear the meaning of additional case. If there are some new cases, it should be disucsed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r>
              <w:rPr>
                <w:lang w:eastAsia="zh-CN"/>
              </w:rPr>
              <w:t>InterDigital</w:t>
            </w:r>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SimSun"/>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discussion,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BE0DD92" w:rsidR="0057755D" w:rsidRDefault="00C34F6B">
      <w:pPr>
        <w:pStyle w:val="Heading3"/>
        <w:numPr>
          <w:ilvl w:val="2"/>
          <w:numId w:val="4"/>
        </w:numPr>
        <w:jc w:val="both"/>
        <w:rPr>
          <w:lang w:val="en-US"/>
        </w:rPr>
      </w:pPr>
      <w:r>
        <w:rPr>
          <w:color w:val="FF0000"/>
          <w:lang w:eastAsia="zh-CN"/>
        </w:rPr>
        <w:t xml:space="preserve">[CLOSED] </w:t>
      </w:r>
      <w:r w:rsidR="00900CAA">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InterDigital [14], NTT DOCOMO [18], Qualcomm [19]) discussed and proposes directions for studying new signaling mechanisms between UE and Gnb.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(Fujitsu [8]) proposes introducing a new signaling/report from UE to Gnb to let Gnb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(InterDigital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Is any scheduler assistance needed to enable/activate or support UL-CA operations? Does PHR framework need any updates? Would Gnb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Lets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r>
              <w:rPr>
                <w:lang w:eastAsia="ja-JP"/>
              </w:rPr>
              <w:t>ignalling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r>
              <w:rPr>
                <w:lang w:eastAsia="zh-CN"/>
              </w:rPr>
              <w:t>InterDigital</w:t>
            </w:r>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From the gNB's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discussion,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could be possibly be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e are ok to further study this aspect. However, ‘higher power CA/DC’ in the proposal seems ambiguous. On top of the updates from Ericsson, we suggest to change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Huawei, HiSilicon</w:t>
            </w:r>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There is no RAN1 issue identified for Rel-17 RAN4 work. If anything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discussed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@vivo: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lastRenderedPageBreak/>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gNB are needed </w:t>
      </w:r>
      <w:r w:rsidRPr="006D7AA8">
        <w:rPr>
          <w:strike/>
          <w:color w:val="FF0000"/>
          <w:sz w:val="22"/>
          <w:szCs w:val="22"/>
          <w:highlight w:val="yellow"/>
          <w:lang w:eastAsia="ja-JP"/>
        </w:rPr>
        <w:t>at gNB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334623BB" w:rsidR="003C774B" w:rsidRDefault="003C774B" w:rsidP="003C774B"/>
    <w:p w14:paraId="2DEC9F4C" w14:textId="77777777" w:rsidR="00C34F6B" w:rsidRDefault="00C34F6B" w:rsidP="00C34F6B">
      <w:pPr>
        <w:jc w:val="both"/>
        <w:rPr>
          <w:b/>
          <w:bCs/>
          <w:sz w:val="24"/>
          <w:szCs w:val="24"/>
          <w:highlight w:val="cyan"/>
          <w:lang w:val="en-US"/>
        </w:rPr>
      </w:pPr>
      <w:r>
        <w:rPr>
          <w:b/>
          <w:bCs/>
          <w:sz w:val="24"/>
          <w:szCs w:val="24"/>
          <w:highlight w:val="cyan"/>
          <w:lang w:val="en-US"/>
        </w:rPr>
        <w:t>FL’s comment on October 17 [after GTW]</w:t>
      </w:r>
    </w:p>
    <w:p w14:paraId="24D58218" w14:textId="22ED08A1" w:rsidR="00C34F6B" w:rsidRPr="00C34F6B" w:rsidRDefault="00C34F6B" w:rsidP="003C774B">
      <w:pPr>
        <w:rPr>
          <w:lang w:val="en-US"/>
        </w:rPr>
      </w:pPr>
      <w:r>
        <w:rPr>
          <w:lang w:val="en-US"/>
        </w:rPr>
        <w:t>An agreement was made during today’s GTW and an LS will be drafted and shared shortly (before 10 PM UTC on October 18) as per Chair’s suggestion. This discussion is closed.</w:t>
      </w:r>
    </w:p>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lastRenderedPageBreak/>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Candidate MPR/PAR reduction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Gnb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lastRenderedPageBreak/>
              <w:t>Ericsson</w:t>
            </w:r>
          </w:p>
        </w:tc>
        <w:tc>
          <w:tcPr>
            <w:tcW w:w="7447" w:type="dxa"/>
          </w:tcPr>
          <w:p w14:paraId="7AF5EF7D" w14:textId="77777777" w:rsidR="0057755D" w:rsidRDefault="00900CAA">
            <w:pPr>
              <w:jc w:val="both"/>
              <w:rPr>
                <w:lang w:eastAsia="zh-CN"/>
              </w:rPr>
            </w:pPr>
            <w:r>
              <w:rPr>
                <w:lang w:eastAsia="zh-CN"/>
              </w:rPr>
              <w:t>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tradeoffs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lastRenderedPageBreak/>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RAN1 can inform RAN4 of their findings on specification impact and our view of performance/complexity tradeoffs.</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lastRenderedPageBreak/>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lastRenderedPageBreak/>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r>
              <w:rPr>
                <w:lang w:eastAsia="ja-JP"/>
              </w:rPr>
              <w:t>InterDigital</w:t>
            </w:r>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lastRenderedPageBreak/>
              <w:t>Huawei, HiSilicon</w:t>
            </w:r>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v.s.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r>
              <w:rPr>
                <w:lang w:eastAsia="zh-CN"/>
              </w:rPr>
              <w:t>InterDigital</w:t>
            </w:r>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Gnb.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lastRenderedPageBreak/>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lastRenderedPageBreak/>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reduction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(Huawei/HiSi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4 companies (Intel [9], Spreadtrum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4 companies (OPPO [6], Lenovo [10], InterDigital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1 company (Ericsson [15]) proposes transparent MPR reduction schemes such as clipping and filtering, companding,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lastRenderedPageBreak/>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lastRenderedPageBreak/>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transparent MPR reduction schemes such as clipping and filtering, companding,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lastRenderedPageBreak/>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r>
              <w:rPr>
                <w:lang w:eastAsia="ja-JP"/>
              </w:rPr>
              <w:t>InterDigital</w:t>
            </w:r>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lastRenderedPageBreak/>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r>
              <w:rPr>
                <w:lang w:eastAsia="zh-CN"/>
              </w:rPr>
              <w:t xml:space="preserve">W.r.t. other modulation schemes, we think that focusing on QPSK is sufficient in Rel-18. As a matter of fact, </w:t>
            </w:r>
            <w:r>
              <w:rPr>
                <w:lang w:val="en-US" w:eastAsia="zh-CN"/>
              </w:rPr>
              <w:t xml:space="preserve">Pi/2 BPSK without spectrum extension has been studied extensively already (Rel-15 – Rel-17). Furthermore, based on our results and results in at least [3] and </w:t>
            </w:r>
            <w:r>
              <w:rPr>
                <w:lang w:val="en-US" w:eastAsia="zh-CN"/>
              </w:rPr>
              <w:lastRenderedPageBreak/>
              <w:t>[4],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r>
              <w:rPr>
                <w:lang w:eastAsia="ja-JP"/>
              </w:rPr>
              <w:t>InterDigital</w:t>
            </w:r>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The list only covers schemes with RAN1 spec impact.  Transparent schemes such as clipping, companding,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Cov Enh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Non-transparent schemes,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Non-transparent schemes,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Companding</w:t>
            </w:r>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w:t>
            </w:r>
            <w:r>
              <w:rPr>
                <w:lang w:eastAsia="zh-CN"/>
              </w:rPr>
              <w:lastRenderedPageBreak/>
              <w:t xml:space="preserve">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r>
              <w:rPr>
                <w:lang w:eastAsia="ja-JP"/>
              </w:rPr>
              <w:t>InterDigital</w:t>
            </w:r>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Cov Enh.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Don’t support to study transparent MPR reduction schemes such as clipping and filtering, companding, and digital predistortion.</w:t>
            </w:r>
          </w:p>
          <w:p w14:paraId="61997972" w14:textId="77777777" w:rsidR="0057755D" w:rsidRDefault="00900CAA">
            <w:pPr>
              <w:pStyle w:val="ListParagraph"/>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Clipping and filtering, companding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Such techniques may not provide adequate MPR (link budget) improvement, and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r>
              <w:rPr>
                <w:lang w:eastAsia="zh-CN"/>
              </w:rPr>
              <w:t>InterDigital</w:t>
            </w:r>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scarce and </w:t>
      </w:r>
      <w:r>
        <w:rPr>
          <w:sz w:val="22"/>
          <w:szCs w:val="22"/>
        </w:rPr>
        <w:lastRenderedPageBreak/>
        <w:t>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lastRenderedPageBreak/>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r>
              <w:rPr>
                <w:lang w:eastAsia="zh-CN"/>
              </w:rPr>
              <w:t>Spreadtrum</w:t>
            </w:r>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r>
              <w:rPr>
                <w:lang w:eastAsia="zh-CN"/>
              </w:rPr>
              <w:t>InterDigital</w:t>
            </w:r>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r>
              <w:rPr>
                <w:lang w:eastAsia="zh-CN"/>
              </w:rPr>
              <w:t>Spreadtrum</w:t>
            </w:r>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Please consider the following updated proposal after vivo’s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r>
              <w:rPr>
                <w:lang w:eastAsia="zh-CN"/>
              </w:rPr>
              <w:t>InterDigital</w:t>
            </w:r>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r>
              <w:rPr>
                <w:lang w:eastAsia="zh-CN"/>
              </w:rPr>
              <w:t>Spreadtrum</w:t>
            </w:r>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r>
              <w:rPr>
                <w:lang w:eastAsia="zh-CN"/>
              </w:rPr>
              <w:t>InterDigital</w:t>
            </w:r>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Somewhat prefer ‘can’ given Mediatek’s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r>
              <w:rPr>
                <w:lang w:eastAsia="zh-CN"/>
              </w:rPr>
              <w:t>Spreadtrum</w:t>
            </w:r>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r>
              <w:rPr>
                <w:lang w:eastAsia="zh-CN"/>
              </w:rPr>
              <w:t>InterDigital</w:t>
            </w:r>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sub-prb.</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r>
              <w:rPr>
                <w:lang w:eastAsia="zh-CN"/>
              </w:rPr>
              <w:t>Spreadtrum</w:t>
            </w:r>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47DAA449" w14:textId="0960C92C" w:rsidR="00E05670" w:rsidRPr="00E05670" w:rsidRDefault="00E05670" w:rsidP="006C4DAF">
            <w:pPr>
              <w:snapToGrid/>
              <w:spacing w:afterAutospacing="0" w:line="240" w:lineRule="auto"/>
              <w:jc w:val="both"/>
            </w:pPr>
            <w:r>
              <w:t>One clarification questions: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schemes, </w:t>
            </w:r>
            <w:r>
              <w:rPr>
                <w:i/>
                <w:iCs/>
                <w:lang w:eastAsia="ja-JP"/>
              </w:rPr>
              <w:t xml:space="preserve"> </w:t>
            </w:r>
            <w:r>
              <w:rPr>
                <w:lang w:eastAsia="ja-JP"/>
              </w:rPr>
              <w:t>I understand that “</w:t>
            </w:r>
            <w:r w:rsidRPr="00B8142D">
              <w:rPr>
                <w:lang w:eastAsia="ja-JP"/>
              </w:rPr>
              <w:t>e.g., FDSS Frequency domain spectrum shaping w/o spectrum extension,</w:t>
            </w:r>
            <w:r>
              <w:rPr>
                <w:lang w:eastAsia="ja-JP"/>
              </w:rPr>
              <w:t>” is meant to clarify that this can be a transparent scheme.  However, it may serve to emphasize this scheme over others, which I don’t think is intended (especially for QPSK).  Listing the transparent schemes may be too detailed at this stage, so I’d suggest to use a note as follows.  A minor comment: ‘other’ does not seem correct, since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 xml:space="preserve">(i.e.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r>
              <w:rPr>
                <w:rFonts w:hint="eastAsia"/>
                <w:lang w:eastAsia="zh-CN"/>
              </w:rPr>
              <w:t>S</w:t>
            </w:r>
            <w:r>
              <w:rPr>
                <w:lang w:eastAsia="zh-CN"/>
              </w:rPr>
              <w:t>preadtrum</w:t>
            </w:r>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Huawei, HiSilicon</w:t>
            </w:r>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However, this concern deos not seem formally correct since a transparent technique is not defined as such w.r.t. specification description but rather to the fact that NW has to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Fine  with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SimSun"/>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(i.e.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5E38BD2C" w:rsidR="0092164B" w:rsidRDefault="0092164B" w:rsidP="003C774B">
      <w:pPr>
        <w:jc w:val="both"/>
        <w:rPr>
          <w:sz w:val="22"/>
          <w:szCs w:val="22"/>
        </w:rPr>
      </w:pPr>
    </w:p>
    <w:p w14:paraId="34B346DA" w14:textId="30DD6C7F" w:rsidR="00C34F6B" w:rsidRDefault="00C34F6B" w:rsidP="00C34F6B">
      <w:pPr>
        <w:jc w:val="both"/>
        <w:rPr>
          <w:b/>
          <w:bCs/>
          <w:sz w:val="24"/>
          <w:szCs w:val="24"/>
          <w:highlight w:val="cyan"/>
          <w:lang w:val="en-US"/>
        </w:rPr>
      </w:pPr>
      <w:r>
        <w:rPr>
          <w:b/>
          <w:bCs/>
          <w:sz w:val="24"/>
          <w:szCs w:val="24"/>
          <w:highlight w:val="cyan"/>
          <w:lang w:val="en-US"/>
        </w:rPr>
        <w:lastRenderedPageBreak/>
        <w:t>FL’s comment on October 17 [after GTW]</w:t>
      </w:r>
    </w:p>
    <w:p w14:paraId="41BE1833" w14:textId="7AA72EFA" w:rsidR="00C34F6B" w:rsidRDefault="00C34F6B" w:rsidP="003C774B">
      <w:pPr>
        <w:jc w:val="both"/>
        <w:rPr>
          <w:sz w:val="22"/>
          <w:szCs w:val="22"/>
        </w:rPr>
      </w:pPr>
      <w:r>
        <w:rPr>
          <w:sz w:val="22"/>
          <w:szCs w:val="22"/>
        </w:rPr>
        <w:t xml:space="preserve">Given the comments received online, FL’s proposal 3-v4 is updated </w:t>
      </w:r>
      <w:r w:rsidR="000C6D08">
        <w:rPr>
          <w:sz w:val="22"/>
          <w:szCs w:val="22"/>
        </w:rPr>
        <w:t>to FL’s proposal 4-v5 below</w:t>
      </w:r>
      <w:r>
        <w:rPr>
          <w:sz w:val="22"/>
          <w:szCs w:val="22"/>
        </w:rPr>
        <w:t>.</w:t>
      </w:r>
    </w:p>
    <w:p w14:paraId="7AC22D05" w14:textId="30B3EB29" w:rsidR="000C6D08" w:rsidRDefault="000C6D08" w:rsidP="003C774B">
      <w:pPr>
        <w:jc w:val="both"/>
        <w:rPr>
          <w:sz w:val="22"/>
          <w:szCs w:val="22"/>
        </w:rPr>
      </w:pPr>
      <w:r>
        <w:rPr>
          <w:sz w:val="22"/>
          <w:szCs w:val="22"/>
        </w:rPr>
        <w:t xml:space="preserve">Before providing the update, I would like to corroborate my statement online by copying the entire discussion RAN4 has been having on this </w:t>
      </w:r>
      <w:r w:rsidR="0059251D">
        <w:rPr>
          <w:sz w:val="22"/>
          <w:szCs w:val="22"/>
        </w:rPr>
        <w:t xml:space="preserve"> </w:t>
      </w:r>
      <w:hyperlink r:id="rId15" w:history="1">
        <w:r w:rsidR="0059251D" w:rsidRPr="0059251D">
          <w:rPr>
            <w:rStyle w:val="Hyperlink"/>
            <w:sz w:val="22"/>
            <w:szCs w:val="22"/>
          </w:rPr>
          <w:t>transparent vs non-transparent</w:t>
        </w:r>
      </w:hyperlink>
      <w:r w:rsidR="0059251D">
        <w:rPr>
          <w:sz w:val="22"/>
          <w:szCs w:val="22"/>
        </w:rPr>
        <w:t xml:space="preserve"> aspect</w:t>
      </w:r>
      <w:r>
        <w:rPr>
          <w:sz w:val="22"/>
          <w:szCs w:val="22"/>
        </w:rPr>
        <w:t>. I would really appreciate if we could all do this cross-WG checks, at least every now and then. It would save us all a lot of misunderstandings and ambiguity. Thank you.</w:t>
      </w:r>
    </w:p>
    <w:p w14:paraId="4613742B" w14:textId="735C66EA" w:rsidR="000C6D08" w:rsidRDefault="000C6D08" w:rsidP="003C774B">
      <w:pPr>
        <w:jc w:val="both"/>
        <w:rPr>
          <w:sz w:val="22"/>
          <w:szCs w:val="22"/>
        </w:rPr>
      </w:pPr>
    </w:p>
    <w:tbl>
      <w:tblPr>
        <w:tblStyle w:val="TableGrid"/>
        <w:tblW w:w="0" w:type="auto"/>
        <w:tblLook w:val="04A0" w:firstRow="1" w:lastRow="0" w:firstColumn="1" w:lastColumn="0" w:noHBand="0" w:noVBand="1"/>
      </w:tblPr>
      <w:tblGrid>
        <w:gridCol w:w="9629"/>
      </w:tblGrid>
      <w:tr w:rsidR="000C6D08" w14:paraId="29E018AF" w14:textId="77777777" w:rsidTr="000C6D08">
        <w:tc>
          <w:tcPr>
            <w:tcW w:w="9629" w:type="dxa"/>
          </w:tcPr>
          <w:p w14:paraId="151FC319" w14:textId="77777777" w:rsidR="000C6D08" w:rsidRDefault="000C6D08" w:rsidP="000C6D08">
            <w:pPr>
              <w:pStyle w:val="Heading2"/>
              <w:rPr>
                <w:sz w:val="24"/>
                <w:szCs w:val="24"/>
                <w:lang w:eastAsia="zh-CN"/>
              </w:rPr>
            </w:pPr>
            <w:r>
              <w:rPr>
                <w:sz w:val="24"/>
                <w:szCs w:val="24"/>
              </w:rPr>
              <w:lastRenderedPageBreak/>
              <w:t>Handling of transparent and Non-transparent schemes</w:t>
            </w:r>
          </w:p>
          <w:p w14:paraId="7E8C6188" w14:textId="77777777" w:rsidR="000C6D08" w:rsidRDefault="000C6D08" w:rsidP="000C6D08">
            <w:pPr>
              <w:pStyle w:val="ListParagraph"/>
              <w:spacing w:after="120"/>
              <w:rPr>
                <w:color w:val="FF0000"/>
                <w:szCs w:val="24"/>
                <w:lang w:eastAsia="zh-CN"/>
              </w:rPr>
            </w:pPr>
            <w:r>
              <w:rPr>
                <w:color w:val="FF0000"/>
                <w:lang w:eastAsia="zh-CN"/>
              </w:rPr>
              <w:t>Discussed Option in the 1</w:t>
            </w:r>
            <w:r>
              <w:rPr>
                <w:color w:val="FF0000"/>
                <w:vertAlign w:val="superscript"/>
                <w:lang w:eastAsia="zh-CN"/>
              </w:rPr>
              <w:t>st</w:t>
            </w:r>
            <w:r>
              <w:rPr>
                <w:color w:val="FF0000"/>
                <w:lang w:eastAsia="zh-CN"/>
              </w:rPr>
              <w:t xml:space="preserve"> round</w:t>
            </w:r>
          </w:p>
          <w:p w14:paraId="6A869B3C"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1: Non-transparent schemes should be considered, and transparent schemes can be used as baseline to evaluate the gain of Non-transparent schemes</w:t>
            </w:r>
          </w:p>
          <w:p w14:paraId="48FE3E50" w14:textId="77777777" w:rsidR="000C6D08" w:rsidRDefault="000C6D08" w:rsidP="000C6D08">
            <w:pPr>
              <w:pStyle w:val="ListParagraph"/>
              <w:numPr>
                <w:ilvl w:val="1"/>
                <w:numId w:val="82"/>
              </w:numPr>
              <w:spacing w:after="120"/>
              <w:ind w:left="1440"/>
              <w:contextualSpacing w:val="0"/>
              <w:rPr>
                <w:color w:val="FF0000"/>
                <w:lang w:eastAsia="zh-CN"/>
              </w:rPr>
            </w:pPr>
            <w:r>
              <w:rPr>
                <w:color w:val="FF0000"/>
                <w:lang w:eastAsia="zh-CN"/>
              </w:rPr>
              <w:t>Option 2: RAN4 to focus on transparent waveform enhancements separately from any future support work for RAN1 to evaluate new waveforms or techniques (non-transparent enhancements)</w:t>
            </w:r>
          </w:p>
          <w:p w14:paraId="5CA96405" w14:textId="77777777" w:rsidR="000C6D08" w:rsidRDefault="000C6D08" w:rsidP="000C6D08">
            <w:pPr>
              <w:pStyle w:val="ListParagraph"/>
              <w:numPr>
                <w:ilvl w:val="2"/>
                <w:numId w:val="82"/>
              </w:numPr>
              <w:spacing w:after="120"/>
              <w:contextualSpacing w:val="0"/>
              <w:rPr>
                <w:color w:val="FF0000"/>
                <w:lang w:eastAsia="zh-CN"/>
              </w:rPr>
            </w:pPr>
            <w:r>
              <w:rPr>
                <w:color w:val="FF0000"/>
                <w:lang w:eastAsia="zh-CN"/>
              </w:rPr>
              <w:t>Note: It means that RAN4 focus on transparent waveform enhancements and wait for convergence in RAN1 on Non-transparent enhancements before tackling in RAN4</w:t>
            </w:r>
          </w:p>
          <w:p w14:paraId="696EEF4D"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3: No transparent scheme is used as baseline</w:t>
            </w:r>
          </w:p>
          <w:p w14:paraId="5FDF54DB"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Others 4: Others</w:t>
            </w:r>
          </w:p>
          <w:p w14:paraId="15C74761" w14:textId="77777777" w:rsidR="000C6D08" w:rsidRDefault="000C6D08" w:rsidP="000C6D08">
            <w:pPr>
              <w:rPr>
                <w:rFonts w:eastAsia="Yu Mincho"/>
                <w:i/>
                <w:color w:val="FF0000"/>
                <w:lang w:val="en-US" w:eastAsia="zh-CN"/>
              </w:rPr>
            </w:pPr>
            <w:r>
              <w:rPr>
                <w:rFonts w:eastAsia="Yu Mincho"/>
                <w:i/>
                <w:color w:val="FF0000"/>
                <w:lang w:val="en-US" w:eastAsia="zh-CN"/>
              </w:rPr>
              <w:t xml:space="preserve">Moderator views: From the above, it seems that Option 1 is aligned with the above RAN1 agreement. </w:t>
            </w:r>
          </w:p>
          <w:p w14:paraId="190A0458" w14:textId="77777777" w:rsidR="000C6D08" w:rsidRDefault="000C6D08" w:rsidP="000C6D08">
            <w:pPr>
              <w:rPr>
                <w:rFonts w:eastAsia="Yu Mincho"/>
                <w:i/>
                <w:color w:val="FF0000"/>
                <w:lang w:val="en-US" w:eastAsia="zh-CN"/>
              </w:rPr>
            </w:pPr>
            <w:r>
              <w:rPr>
                <w:rFonts w:eastAsia="Yu Mincho"/>
                <w:i/>
                <w:color w:val="FF0000"/>
                <w:lang w:val="en-US" w:eastAsia="zh-CN"/>
              </w:rPr>
              <w:t xml:space="preserve">Regarding option 2, this is covered by Issue 1-1. Because this proposal is more oriented to work plan so that actually Option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30556EF9" w14:textId="77777777" w:rsidR="000C6D08" w:rsidRDefault="000C6D08" w:rsidP="000C6D08">
            <w:pPr>
              <w:spacing w:afterLines="50" w:after="120"/>
              <w:rPr>
                <w:lang w:eastAsia="zh-CN"/>
              </w:rPr>
            </w:pPr>
            <w:r>
              <w:rPr>
                <w:b/>
                <w:lang w:eastAsia="zh-CN"/>
              </w:rPr>
              <w:t>&lt;</w:t>
            </w:r>
            <w:r>
              <w:rPr>
                <w:b/>
                <w:color w:val="FF0000"/>
                <w:lang w:eastAsia="zh-CN"/>
              </w:rPr>
              <w:t>Obsolete</w:t>
            </w:r>
            <w:r>
              <w:rPr>
                <w:b/>
                <w:lang w:eastAsia="zh-CN"/>
              </w:rPr>
              <w:t xml:space="preserve"> Way forward/Agreement&gt;</w:t>
            </w:r>
            <w:r>
              <w:rPr>
                <w:lang w:eastAsia="zh-CN"/>
              </w:rPr>
              <w:t xml:space="preserve">: </w:t>
            </w:r>
          </w:p>
          <w:p w14:paraId="588F197A" w14:textId="77777777" w:rsidR="000C6D08" w:rsidRDefault="000C6D08" w:rsidP="000C6D08">
            <w:pPr>
              <w:numPr>
                <w:ilvl w:val="0"/>
                <w:numId w:val="82"/>
              </w:numPr>
              <w:rPr>
                <w:rFonts w:eastAsia="Yu Mincho"/>
                <w:i/>
                <w:color w:val="FF0000"/>
                <w:lang w:val="en-US" w:eastAsia="zh-CN"/>
              </w:rPr>
            </w:pPr>
            <w:r>
              <w:rPr>
                <w:rFonts w:eastAsia="Yu Mincho"/>
                <w:i/>
                <w:color w:val="FF0000"/>
                <w:lang w:val="en-US" w:eastAsia="zh-CN"/>
              </w:rPr>
              <w:t>Non-transparent schemes should be considered, and transparent schemes can be used as baseline to evaluate the gain of Non-transparent schemes</w:t>
            </w:r>
          </w:p>
          <w:p w14:paraId="04D1410E" w14:textId="77777777" w:rsidR="000C6D08" w:rsidRDefault="000C6D08" w:rsidP="000C6D08">
            <w:pPr>
              <w:spacing w:after="120"/>
              <w:rPr>
                <w:b/>
                <w:bCs/>
                <w:color w:val="0070C0"/>
                <w:szCs w:val="24"/>
                <w:lang w:eastAsia="zh-CN"/>
              </w:rPr>
            </w:pPr>
            <w:r>
              <w:rPr>
                <w:b/>
                <w:bCs/>
                <w:color w:val="0070C0"/>
                <w:szCs w:val="24"/>
                <w:lang w:eastAsia="zh-CN"/>
              </w:rPr>
              <w:t>GTW</w:t>
            </w:r>
          </w:p>
          <w:p w14:paraId="6AB9607E" w14:textId="77777777" w:rsidR="000C6D08" w:rsidRDefault="000C6D08" w:rsidP="000C6D08">
            <w:pPr>
              <w:rPr>
                <w:iCs/>
                <w:color w:val="0070C0"/>
                <w:highlight w:val="green"/>
                <w:lang w:val="en-US" w:eastAsia="zh-CN"/>
              </w:rPr>
            </w:pPr>
            <w:bookmarkStart w:id="27" w:name="_Hlk116967064"/>
            <w:r>
              <w:rPr>
                <w:rFonts w:hint="eastAsia"/>
                <w:iCs/>
                <w:color w:val="0070C0"/>
                <w:highlight w:val="green"/>
                <w:lang w:val="en-US" w:eastAsia="zh-CN"/>
              </w:rPr>
              <w:t>Agreement:</w:t>
            </w:r>
          </w:p>
          <w:p w14:paraId="64B7BAA1" w14:textId="77777777" w:rsidR="000C6D08" w:rsidRDefault="000C6D08" w:rsidP="000C6D08">
            <w:pPr>
              <w:numPr>
                <w:ilvl w:val="0"/>
                <w:numId w:val="83"/>
              </w:numPr>
              <w:rPr>
                <w:iCs/>
                <w:color w:val="0070C0"/>
                <w:highlight w:val="green"/>
                <w:lang w:val="en-US" w:eastAsia="zh-CN"/>
              </w:rPr>
            </w:pPr>
            <w:r>
              <w:rPr>
                <w:rFonts w:eastAsia="Yu Mincho"/>
                <w:i/>
                <w:color w:val="0070C0"/>
                <w:highlight w:val="green"/>
                <w:lang w:val="en-US" w:eastAsia="zh-CN"/>
              </w:rPr>
              <w:t>Non-transparent schemes should be considered, and transparent schemes can be used as baseline to evaluate the gain of Non-transparent schemes</w:t>
            </w:r>
          </w:p>
          <w:p w14:paraId="777FB22A" w14:textId="77777777" w:rsidR="000C6D08" w:rsidRDefault="000C6D08" w:rsidP="000C6D08">
            <w:pPr>
              <w:numPr>
                <w:ilvl w:val="1"/>
                <w:numId w:val="83"/>
              </w:numPr>
              <w:rPr>
                <w:iCs/>
                <w:color w:val="0070C0"/>
                <w:highlight w:val="green"/>
                <w:lang w:val="en-US" w:eastAsia="zh-CN"/>
              </w:rPr>
            </w:pPr>
            <w:r>
              <w:rPr>
                <w:rFonts w:eastAsia="Yu Mincho"/>
                <w:i/>
                <w:color w:val="0070C0"/>
                <w:highlight w:val="green"/>
                <w:lang w:val="en-US" w:eastAsia="zh-CN"/>
              </w:rPr>
              <w:t>RAN4 can discuss the simulation results for transparent schemes</w:t>
            </w:r>
            <w:r>
              <w:rPr>
                <w:rFonts w:hint="eastAsia"/>
                <w:iCs/>
                <w:color w:val="0070C0"/>
                <w:highlight w:val="green"/>
                <w:lang w:val="en-US" w:eastAsia="zh-CN"/>
              </w:rPr>
              <w:t xml:space="preserve"> in the next meeting.</w:t>
            </w:r>
          </w:p>
          <w:p w14:paraId="78E2E2E0" w14:textId="77777777" w:rsidR="000C6D08" w:rsidRDefault="000C6D08" w:rsidP="000C6D08">
            <w:pPr>
              <w:numPr>
                <w:ilvl w:val="1"/>
                <w:numId w:val="83"/>
              </w:numPr>
              <w:rPr>
                <w:iCs/>
                <w:color w:val="0070C0"/>
                <w:highlight w:val="green"/>
                <w:lang w:val="en-US" w:eastAsia="zh-CN"/>
              </w:rPr>
            </w:pPr>
            <w:r>
              <w:rPr>
                <w:iCs/>
                <w:color w:val="0070C0"/>
                <w:highlight w:val="green"/>
                <w:lang w:val="en-US" w:eastAsia="zh-CN"/>
              </w:rPr>
              <w:t>For non-transparent scheme the simulation results can be submitted but no discussions on the simulation results will be held in November meeting</w:t>
            </w:r>
          </w:p>
          <w:p w14:paraId="3326A1B0" w14:textId="77777777" w:rsidR="000C6D08" w:rsidRDefault="000C6D08" w:rsidP="000C6D08">
            <w:pPr>
              <w:numPr>
                <w:ilvl w:val="0"/>
                <w:numId w:val="83"/>
              </w:numPr>
              <w:rPr>
                <w:rFonts w:eastAsia="Yu Mincho"/>
                <w:i/>
                <w:color w:val="0070C0"/>
                <w:highlight w:val="green"/>
                <w:lang w:val="en-US" w:eastAsia="zh-CN"/>
              </w:rPr>
            </w:pPr>
            <w:r>
              <w:rPr>
                <w:rFonts w:eastAsia="Yu Mincho"/>
                <w:i/>
                <w:color w:val="0070C0"/>
                <w:highlight w:val="green"/>
                <w:lang w:val="en-US" w:eastAsia="zh-CN"/>
              </w:rPr>
              <w:t>Clarify the definition of transparent and non-transparent schemes</w:t>
            </w:r>
          </w:p>
          <w:p w14:paraId="6C15AF95" w14:textId="77777777" w:rsidR="000C6D08" w:rsidRDefault="000C6D08" w:rsidP="000C6D08">
            <w:pPr>
              <w:spacing w:after="120"/>
              <w:rPr>
                <w:color w:val="0070C0"/>
                <w:szCs w:val="24"/>
                <w:lang w:val="en-US" w:eastAsia="zh-CN"/>
              </w:rPr>
            </w:pPr>
          </w:p>
          <w:p w14:paraId="16FDCE62" w14:textId="77777777" w:rsidR="000C6D08" w:rsidRDefault="000C6D08" w:rsidP="000C6D08">
            <w:pPr>
              <w:spacing w:after="120"/>
              <w:rPr>
                <w:color w:val="FF0000"/>
                <w:szCs w:val="24"/>
                <w:lang w:val="en-US" w:eastAsia="zh-CN"/>
              </w:rPr>
            </w:pPr>
            <w:r>
              <w:rPr>
                <w:color w:val="FF0000"/>
                <w:szCs w:val="24"/>
                <w:lang w:val="en-US" w:eastAsia="zh-CN"/>
              </w:rPr>
              <w:t>Since transparent/non-transparent discussion is mixed with work plan, moderator arranges the two WF in 1-1 and 1-2. Here the focus is definition of transparent and non-transparent and how they are related each other.</w:t>
            </w:r>
          </w:p>
          <w:p w14:paraId="21E344C5" w14:textId="77777777" w:rsidR="000C6D08" w:rsidRDefault="000C6D08" w:rsidP="000C6D08">
            <w:pPr>
              <w:spacing w:afterLines="50" w:after="120"/>
              <w:rPr>
                <w:lang w:eastAsia="zh-CN"/>
              </w:rPr>
            </w:pPr>
            <w:r>
              <w:rPr>
                <w:b/>
                <w:lang w:eastAsia="zh-CN"/>
              </w:rPr>
              <w:t>&lt;</w:t>
            </w:r>
            <w:r>
              <w:rPr>
                <w:b/>
                <w:color w:val="FF0000"/>
                <w:lang w:eastAsia="zh-CN"/>
              </w:rPr>
              <w:t>New</w:t>
            </w:r>
            <w:r>
              <w:rPr>
                <w:b/>
                <w:lang w:eastAsia="zh-CN"/>
              </w:rPr>
              <w:t xml:space="preserve"> Way forward/Agreement&gt;</w:t>
            </w:r>
            <w:r>
              <w:rPr>
                <w:lang w:eastAsia="zh-CN"/>
              </w:rPr>
              <w:t xml:space="preserve">: </w:t>
            </w:r>
          </w:p>
          <w:p w14:paraId="26D1F1C4" w14:textId="77777777" w:rsidR="000C6D08" w:rsidRDefault="000C6D08" w:rsidP="000C6D08">
            <w:pPr>
              <w:numPr>
                <w:ilvl w:val="0"/>
                <w:numId w:val="82"/>
              </w:numPr>
              <w:rPr>
                <w:rFonts w:eastAsia="Yu Mincho"/>
                <w:i/>
                <w:color w:val="0070C0"/>
                <w:lang w:val="en-US" w:eastAsia="zh-CN"/>
              </w:rPr>
            </w:pPr>
            <w:bookmarkStart w:id="28" w:name="_Hlk116667843"/>
            <w:r>
              <w:rPr>
                <w:rFonts w:eastAsia="Yu Mincho"/>
                <w:i/>
                <w:color w:val="0070C0"/>
                <w:lang w:val="en-US" w:eastAsia="zh-CN"/>
              </w:rPr>
              <w:t xml:space="preserve">Non-transparent schemes should be considered, and transparent schemes can be used as baseline to evaluate the gain of Non-transparent schemes, where </w:t>
            </w:r>
          </w:p>
          <w:p w14:paraId="5F34A885"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Transparent scheme in Rel-18 CE means that it doesn’t impact on RAN1 specifications so that network has no knowledge on how UEs reduce MPR by spectrum shaping, but network needs to be aware if UE is using this scheme or not, i.e., it’s configured with the UE by network while UE is allowed to use preferred shaping as far as corresponding requirements are met if the feature is configured with the UE.</w:t>
            </w:r>
          </w:p>
          <w:p w14:paraId="0231D8A0"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Non-transparent scheme in Rel-18 CE means that it impacts on RAN1 specifications so that both network and UE need to follow the specification, e.g., on how many RBs (or subcarriers) UE can use and/or how they are allocated to the UE, when the feature is used. Shaping aspect is the same as that of transparent scheme, i.e., network has still no knowledge on how Ues reduce MPR by spectrum shaping and UE is allowed to preferred shaping as far as corresponding requirements are met.</w:t>
            </w:r>
            <w:bookmarkEnd w:id="28"/>
            <w:r>
              <w:rPr>
                <w:rFonts w:eastAsia="Yu Mincho"/>
                <w:i/>
                <w:color w:val="0070C0"/>
                <w:lang w:val="en-US" w:eastAsia="zh-CN"/>
              </w:rPr>
              <w:t xml:space="preserve">   </w:t>
            </w:r>
          </w:p>
          <w:p w14:paraId="4D503197" w14:textId="77777777" w:rsidR="000C6D08" w:rsidRDefault="000C6D08" w:rsidP="000C6D08">
            <w:pPr>
              <w:spacing w:after="120"/>
              <w:rPr>
                <w:color w:val="0070C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8174"/>
            </w:tblGrid>
            <w:tr w:rsidR="000C6D08" w14:paraId="3F30E059" w14:textId="77777777" w:rsidTr="00404105">
              <w:tc>
                <w:tcPr>
                  <w:tcW w:w="1236" w:type="dxa"/>
                </w:tcPr>
                <w:p w14:paraId="188B41EE"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16D0A4C"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Comments</w:t>
                  </w:r>
                </w:p>
              </w:tc>
            </w:tr>
            <w:tr w:rsidR="000C6D08" w14:paraId="78103347" w14:textId="77777777" w:rsidTr="00404105">
              <w:tc>
                <w:tcPr>
                  <w:tcW w:w="1236" w:type="dxa"/>
                </w:tcPr>
                <w:p w14:paraId="511B8EE6" w14:textId="77777777" w:rsidR="000C6D08" w:rsidRDefault="000C6D08" w:rsidP="000C6D08">
                  <w:pPr>
                    <w:spacing w:after="120"/>
                    <w:rPr>
                      <w:rFonts w:eastAsia="Yu Mincho"/>
                      <w:color w:val="0070C0"/>
                      <w:lang w:val="en-US" w:eastAsia="zh-CN"/>
                    </w:rPr>
                  </w:pPr>
                  <w:r>
                    <w:rPr>
                      <w:rFonts w:eastAsia="Yu Mincho"/>
                      <w:color w:val="0070C0"/>
                      <w:lang w:val="en-US" w:eastAsia="zh-CN"/>
                    </w:rPr>
                    <w:lastRenderedPageBreak/>
                    <w:t>Intel</w:t>
                  </w:r>
                </w:p>
              </w:tc>
              <w:tc>
                <w:tcPr>
                  <w:tcW w:w="8395" w:type="dxa"/>
                </w:tcPr>
                <w:p w14:paraId="2945DBDB" w14:textId="77777777" w:rsidR="000C6D08" w:rsidRDefault="000C6D08" w:rsidP="000C6D08">
                  <w:pPr>
                    <w:spacing w:after="120"/>
                    <w:rPr>
                      <w:rFonts w:eastAsia="Yu Mincho"/>
                      <w:color w:val="0070C0"/>
                      <w:lang w:val="en-US" w:eastAsia="zh-CN"/>
                    </w:rPr>
                  </w:pPr>
                  <w:r>
                    <w:rPr>
                      <w:rFonts w:eastAsia="Yu Mincho"/>
                      <w:color w:val="0070C0"/>
                      <w:lang w:val="en-US" w:eastAsia="zh-CN"/>
                    </w:rPr>
                    <w:t>Agree with the WF</w:t>
                  </w:r>
                </w:p>
              </w:tc>
            </w:tr>
            <w:tr w:rsidR="000C6D08" w14:paraId="0CE12C34" w14:textId="77777777" w:rsidTr="00404105">
              <w:tc>
                <w:tcPr>
                  <w:tcW w:w="1236" w:type="dxa"/>
                </w:tcPr>
                <w:p w14:paraId="208C1904" w14:textId="77777777" w:rsidR="000C6D08" w:rsidRDefault="000C6D08" w:rsidP="000C6D08">
                  <w:pPr>
                    <w:spacing w:after="120"/>
                    <w:rPr>
                      <w:rFonts w:eastAsia="Yu Mincho"/>
                      <w:color w:val="0070C0"/>
                      <w:lang w:val="en-US" w:eastAsia="zh-CN"/>
                    </w:rPr>
                  </w:pPr>
                  <w:r>
                    <w:rPr>
                      <w:rFonts w:eastAsia="Yu Mincho"/>
                      <w:color w:val="0070C0"/>
                      <w:lang w:val="en-US" w:eastAsia="zh-CN"/>
                    </w:rPr>
                    <w:t>Huawei</w:t>
                  </w:r>
                </w:p>
              </w:tc>
              <w:tc>
                <w:tcPr>
                  <w:tcW w:w="8395" w:type="dxa"/>
                </w:tcPr>
                <w:p w14:paraId="39A8696C" w14:textId="77777777" w:rsidR="000C6D08" w:rsidRDefault="000C6D08" w:rsidP="000C6D08">
                  <w:pPr>
                    <w:spacing w:after="120"/>
                    <w:rPr>
                      <w:rFonts w:eastAsia="Yu Mincho"/>
                      <w:color w:val="0070C0"/>
                      <w:lang w:val="en-US" w:eastAsia="zh-CN"/>
                    </w:rPr>
                  </w:pPr>
                  <w:r>
                    <w:rPr>
                      <w:rFonts w:eastAsia="Yu Mincho"/>
                      <w:color w:val="0070C0"/>
                      <w:lang w:val="en-US" w:eastAsia="zh-CN"/>
                    </w:rPr>
                    <w:t>OK with the WF</w:t>
                  </w:r>
                </w:p>
              </w:tc>
            </w:tr>
            <w:tr w:rsidR="000C6D08" w14:paraId="0DC724E8" w14:textId="77777777" w:rsidTr="00404105">
              <w:tc>
                <w:tcPr>
                  <w:tcW w:w="1236" w:type="dxa"/>
                </w:tcPr>
                <w:p w14:paraId="356983CF" w14:textId="77777777" w:rsidR="000C6D08" w:rsidRDefault="000C6D08" w:rsidP="000C6D08">
                  <w:pPr>
                    <w:spacing w:after="120"/>
                    <w:rPr>
                      <w:rFonts w:eastAsia="Yu Mincho"/>
                      <w:color w:val="0070C0"/>
                      <w:lang w:val="en-US" w:eastAsia="zh-CN"/>
                    </w:rPr>
                  </w:pPr>
                  <w:r>
                    <w:rPr>
                      <w:rFonts w:eastAsia="Yu Mincho"/>
                      <w:color w:val="0070C0"/>
                      <w:lang w:val="en-US" w:eastAsia="zh-CN"/>
                    </w:rPr>
                    <w:t>Meta</w:t>
                  </w:r>
                </w:p>
              </w:tc>
              <w:tc>
                <w:tcPr>
                  <w:tcW w:w="8395" w:type="dxa"/>
                </w:tcPr>
                <w:p w14:paraId="2BF26987" w14:textId="77777777" w:rsidR="000C6D08" w:rsidRDefault="000C6D08" w:rsidP="000C6D08">
                  <w:pPr>
                    <w:spacing w:after="120"/>
                    <w:rPr>
                      <w:rFonts w:eastAsia="Yu Mincho"/>
                      <w:color w:val="0070C0"/>
                      <w:lang w:val="en-US" w:eastAsia="zh-CN"/>
                    </w:rPr>
                  </w:pPr>
                  <w:r>
                    <w:rPr>
                      <w:rFonts w:eastAsia="Yu Mincho"/>
                      <w:color w:val="0070C0"/>
                      <w:lang w:val="en-US" w:eastAsia="zh-CN"/>
                    </w:rPr>
                    <w:t>We can accept the WF.</w:t>
                  </w:r>
                </w:p>
              </w:tc>
            </w:tr>
            <w:tr w:rsidR="000C6D08" w14:paraId="7218343D" w14:textId="77777777" w:rsidTr="00404105">
              <w:tc>
                <w:tcPr>
                  <w:tcW w:w="1236" w:type="dxa"/>
                </w:tcPr>
                <w:p w14:paraId="2BDF88FC"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ZTE</w:t>
                  </w:r>
                </w:p>
              </w:tc>
              <w:tc>
                <w:tcPr>
                  <w:tcW w:w="8395" w:type="dxa"/>
                </w:tcPr>
                <w:p w14:paraId="399707EF"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Fine  with the WF</w:t>
                  </w:r>
                </w:p>
              </w:tc>
            </w:tr>
            <w:tr w:rsidR="000C6D08" w14:paraId="6F0A03F0" w14:textId="77777777" w:rsidTr="00404105">
              <w:tc>
                <w:tcPr>
                  <w:tcW w:w="1236" w:type="dxa"/>
                </w:tcPr>
                <w:p w14:paraId="2598EEE4" w14:textId="77777777" w:rsidR="000C6D08" w:rsidRPr="006B5DA6" w:rsidRDefault="000C6D08" w:rsidP="000C6D08">
                  <w:pPr>
                    <w:spacing w:after="120"/>
                    <w:rPr>
                      <w:rFonts w:eastAsia="DengXian"/>
                      <w:color w:val="0070C0"/>
                      <w:lang w:val="en-US" w:eastAsia="zh-CN"/>
                    </w:rPr>
                  </w:pPr>
                  <w:r w:rsidRPr="006B5DA6">
                    <w:rPr>
                      <w:rFonts w:eastAsia="DengXian"/>
                      <w:color w:val="0070C0"/>
                      <w:lang w:val="en-US" w:eastAsia="zh-CN"/>
                    </w:rPr>
                    <w:t>Vivo</w:t>
                  </w:r>
                </w:p>
              </w:tc>
              <w:tc>
                <w:tcPr>
                  <w:tcW w:w="8395" w:type="dxa"/>
                </w:tcPr>
                <w:p w14:paraId="77115580" w14:textId="77777777" w:rsidR="000C6D08" w:rsidRPr="006B5DA6" w:rsidRDefault="000C6D08" w:rsidP="000C6D08">
                  <w:pPr>
                    <w:spacing w:after="120"/>
                    <w:rPr>
                      <w:rFonts w:eastAsia="DengXian"/>
                      <w:color w:val="0070C0"/>
                      <w:lang w:val="en-US" w:eastAsia="zh-CN"/>
                    </w:rPr>
                  </w:pPr>
                  <w:r w:rsidRPr="006B5DA6">
                    <w:rPr>
                      <w:rFonts w:eastAsia="DengXian" w:hint="eastAsia"/>
                      <w:color w:val="0070C0"/>
                      <w:lang w:val="en-US" w:eastAsia="zh-CN"/>
                    </w:rPr>
                    <w:t>O</w:t>
                  </w:r>
                  <w:r w:rsidRPr="006B5DA6">
                    <w:rPr>
                      <w:rFonts w:eastAsia="DengXian"/>
                      <w:color w:val="0070C0"/>
                      <w:lang w:val="en-US" w:eastAsia="zh-CN"/>
                    </w:rPr>
                    <w:t>K with the WF</w:t>
                  </w:r>
                </w:p>
              </w:tc>
            </w:tr>
            <w:tr w:rsidR="000C6D08" w14:paraId="15C2AE03" w14:textId="77777777" w:rsidTr="00404105">
              <w:trPr>
                <w:trHeight w:val="498"/>
              </w:trPr>
              <w:tc>
                <w:tcPr>
                  <w:tcW w:w="1236" w:type="dxa"/>
                </w:tcPr>
                <w:p w14:paraId="6E45F284" w14:textId="77777777" w:rsidR="000C6D08" w:rsidRPr="006B5DA6" w:rsidRDefault="000C6D08" w:rsidP="000C6D08">
                  <w:pPr>
                    <w:spacing w:after="120"/>
                    <w:rPr>
                      <w:rFonts w:eastAsia="DengXian"/>
                      <w:color w:val="0070C0"/>
                      <w:lang w:val="en-US" w:eastAsia="zh-CN"/>
                    </w:rPr>
                  </w:pPr>
                  <w:r>
                    <w:rPr>
                      <w:rStyle w:val="normaltextrun"/>
                      <w:color w:val="CC3595"/>
                      <w:lang w:val="en-US"/>
                    </w:rPr>
                    <w:t>Nokia</w:t>
                  </w:r>
                  <w:r>
                    <w:rPr>
                      <w:rStyle w:val="eop"/>
                      <w:color w:val="0070C0"/>
                    </w:rPr>
                    <w:t> </w:t>
                  </w:r>
                </w:p>
              </w:tc>
              <w:tc>
                <w:tcPr>
                  <w:tcW w:w="8395" w:type="dxa"/>
                </w:tcPr>
                <w:p w14:paraId="0C759430" w14:textId="77777777" w:rsidR="000C6D08" w:rsidRPr="006B5DA6" w:rsidRDefault="000C6D08" w:rsidP="000C6D08">
                  <w:pPr>
                    <w:spacing w:after="120"/>
                    <w:rPr>
                      <w:rFonts w:eastAsia="DengXian"/>
                      <w:color w:val="0070C0"/>
                      <w:lang w:val="en-US" w:eastAsia="zh-CN"/>
                    </w:rPr>
                  </w:pPr>
                  <w:r>
                    <w:rPr>
                      <w:rStyle w:val="normaltextrun"/>
                      <w:color w:val="CC3595"/>
                      <w:lang w:val="en-US"/>
                    </w:rPr>
                    <w:t>OK with the WF</w:t>
                  </w:r>
                  <w:r>
                    <w:rPr>
                      <w:rStyle w:val="eop"/>
                      <w:color w:val="0070C0"/>
                    </w:rPr>
                    <w:t> </w:t>
                  </w:r>
                </w:p>
              </w:tc>
            </w:tr>
            <w:tr w:rsidR="000C6D08" w14:paraId="6814A5F5" w14:textId="77777777" w:rsidTr="00404105">
              <w:tc>
                <w:tcPr>
                  <w:tcW w:w="1236" w:type="dxa"/>
                </w:tcPr>
                <w:p w14:paraId="689A61E2" w14:textId="77777777" w:rsidR="000C6D08" w:rsidRDefault="000C6D08" w:rsidP="000C6D08">
                  <w:pPr>
                    <w:spacing w:after="120"/>
                    <w:rPr>
                      <w:rStyle w:val="normaltextrun"/>
                      <w:color w:val="CC3595"/>
                      <w:lang w:val="en-US"/>
                    </w:rPr>
                  </w:pPr>
                  <w:r>
                    <w:rPr>
                      <w:rStyle w:val="normaltextrun"/>
                      <w:color w:val="CC3595"/>
                      <w:lang w:val="en-US"/>
                    </w:rPr>
                    <w:t>A</w:t>
                  </w:r>
                  <w:r>
                    <w:rPr>
                      <w:rStyle w:val="normaltextrun"/>
                      <w:color w:val="CC3595"/>
                    </w:rPr>
                    <w:t>pple</w:t>
                  </w:r>
                </w:p>
              </w:tc>
              <w:tc>
                <w:tcPr>
                  <w:tcW w:w="8395" w:type="dxa"/>
                </w:tcPr>
                <w:p w14:paraId="05AA0F2B" w14:textId="77777777" w:rsidR="000C6D08" w:rsidRDefault="000C6D08" w:rsidP="000C6D08">
                  <w:pPr>
                    <w:spacing w:after="120"/>
                    <w:rPr>
                      <w:rStyle w:val="normaltextrun"/>
                      <w:color w:val="CC3595"/>
                      <w:lang w:val="en-US"/>
                    </w:rPr>
                  </w:pPr>
                  <w:r>
                    <w:rPr>
                      <w:rStyle w:val="normaltextrun"/>
                      <w:color w:val="CC3595"/>
                      <w:lang w:val="en-US"/>
                    </w:rPr>
                    <w:t>W</w:t>
                  </w:r>
                  <w:r>
                    <w:rPr>
                      <w:rStyle w:val="normaltextrun"/>
                      <w:color w:val="CC3595"/>
                    </w:rPr>
                    <w:t>F is fine</w:t>
                  </w:r>
                </w:p>
              </w:tc>
            </w:tr>
            <w:tr w:rsidR="000C6D08" w14:paraId="40932D7E" w14:textId="77777777" w:rsidTr="00404105">
              <w:tc>
                <w:tcPr>
                  <w:tcW w:w="1236" w:type="dxa"/>
                </w:tcPr>
                <w:p w14:paraId="7B2F90D3" w14:textId="77777777" w:rsidR="000C6D08" w:rsidRDefault="000C6D08" w:rsidP="000C6D08">
                  <w:pPr>
                    <w:spacing w:after="120"/>
                    <w:rPr>
                      <w:rStyle w:val="normaltextrun"/>
                      <w:color w:val="CC3595"/>
                      <w:lang w:val="en-US"/>
                    </w:rPr>
                  </w:pPr>
                  <w:r>
                    <w:rPr>
                      <w:rFonts w:eastAsia="Yu Mincho"/>
                      <w:color w:val="0070C0"/>
                      <w:lang w:val="en-US" w:eastAsia="zh-CN"/>
                    </w:rPr>
                    <w:t>Ericsson</w:t>
                  </w:r>
                </w:p>
              </w:tc>
              <w:tc>
                <w:tcPr>
                  <w:tcW w:w="8395" w:type="dxa"/>
                </w:tcPr>
                <w:p w14:paraId="6AD3F346" w14:textId="77777777" w:rsidR="000C6D08" w:rsidRDefault="000C6D08" w:rsidP="000C6D08">
                  <w:pPr>
                    <w:spacing w:after="120"/>
                    <w:rPr>
                      <w:rFonts w:eastAsia="Yu Mincho"/>
                      <w:color w:val="0070C0"/>
                      <w:lang w:val="en-US" w:eastAsia="zh-CN"/>
                    </w:rPr>
                  </w:pPr>
                  <w:r>
                    <w:rPr>
                      <w:rFonts w:eastAsia="Yu Mincho"/>
                      <w:color w:val="0070C0"/>
                      <w:lang w:val="en-US" w:eastAsia="zh-CN"/>
                    </w:rPr>
                    <w:t xml:space="preserve">This is too limiting, since techniques listed for Option 2 are quite well known, and not precluded at all by the WID.  The WID talks about ‘enhancements’ when referring to spectrum shaping without spectrum expansion (see below). If we consider it an enhancement, then it is not clear that it is a transparent scheme.  Furthermore, baselines for evaluation are clearly not addressed or constrained by the WID.    </w:t>
                  </w:r>
                </w:p>
                <w:p w14:paraId="6028B1C0" w14:textId="77777777" w:rsidR="000C6D08" w:rsidRPr="006949AE" w:rsidRDefault="000C6D08" w:rsidP="000C6D08">
                  <w:pPr>
                    <w:numPr>
                      <w:ilvl w:val="1"/>
                      <w:numId w:val="5"/>
                    </w:numPr>
                    <w:tabs>
                      <w:tab w:val="clear" w:pos="1077"/>
                      <w:tab w:val="num" w:pos="1440"/>
                    </w:tabs>
                    <w:spacing w:before="120" w:after="120" w:line="276" w:lineRule="auto"/>
                    <w:ind w:left="1440"/>
                    <w:jc w:val="both"/>
                    <w:rPr>
                      <w:iCs/>
                      <w:lang w:val="en-US"/>
                    </w:rPr>
                  </w:pPr>
                  <w:r w:rsidRPr="004D4DB6">
                    <w:rPr>
                      <w:iCs/>
                      <w:highlight w:val="yellow"/>
                      <w:lang w:val="en-US"/>
                    </w:rPr>
                    <w:t>Enhancements</w:t>
                  </w:r>
                  <w:r w:rsidRPr="006949AE">
                    <w:rPr>
                      <w:iCs/>
                      <w:lang w:val="en-US"/>
                    </w:rPr>
                    <w:t xml:space="preserve"> to reduce MPR/PAR, </w:t>
                  </w:r>
                  <w:r w:rsidRPr="004D4DB6">
                    <w:rPr>
                      <w:iCs/>
                      <w:highlight w:val="yellow"/>
                      <w:lang w:val="en-US"/>
                    </w:rPr>
                    <w:t>including</w:t>
                  </w:r>
                  <w:r w:rsidRPr="006949AE">
                    <w:rPr>
                      <w:iCs/>
                      <w:lang w:val="en-US"/>
                    </w:rPr>
                    <w:t xml:space="preserve"> </w:t>
                  </w:r>
                  <w:r w:rsidRPr="00E74766">
                    <w:rPr>
                      <w:rFonts w:hint="eastAsia"/>
                      <w:iCs/>
                      <w:lang w:val="en-US" w:eastAsia="zh-CN"/>
                    </w:rPr>
                    <w:t xml:space="preserve">frequency domain </w:t>
                  </w:r>
                  <w:r w:rsidRPr="006949AE">
                    <w:rPr>
                      <w:iCs/>
                      <w:lang w:val="en-US"/>
                    </w:rPr>
                    <w:t>spectrum shaping</w:t>
                  </w:r>
                  <w:r w:rsidRPr="004D388E">
                    <w:t xml:space="preserve"> </w:t>
                  </w:r>
                  <w:r w:rsidRPr="004D388E">
                    <w:rPr>
                      <w:iCs/>
                      <w:lang w:val="en-US"/>
                    </w:rPr>
                    <w:t xml:space="preserve">with and </w:t>
                  </w:r>
                  <w:r w:rsidRPr="004D4DB6">
                    <w:rPr>
                      <w:iCs/>
                      <w:highlight w:val="yellow"/>
                      <w:lang w:val="en-US"/>
                    </w:rPr>
                    <w:t>without spectrum extension for DFT-S-OFDM</w:t>
                  </w:r>
                  <w:r w:rsidRPr="004D388E">
                    <w:rPr>
                      <w:iCs/>
                      <w:lang w:val="en-US"/>
                    </w:rPr>
                    <w:t xml:space="preserve"> and tone reservation</w:t>
                  </w:r>
                  <w:r w:rsidRPr="006949AE">
                    <w:rPr>
                      <w:iCs/>
                      <w:lang w:val="en-US"/>
                    </w:rPr>
                    <w:t xml:space="preserve"> (RAN4, RAN1)</w:t>
                  </w:r>
                </w:p>
                <w:p w14:paraId="1437ED31" w14:textId="77777777" w:rsidR="000C6D08" w:rsidRDefault="000C6D08" w:rsidP="000C6D08">
                  <w:pPr>
                    <w:spacing w:after="120"/>
                    <w:rPr>
                      <w:rStyle w:val="normaltextrun"/>
                      <w:color w:val="CC3595"/>
                      <w:lang w:val="en-US"/>
                    </w:rPr>
                  </w:pPr>
                  <w:r>
                    <w:rPr>
                      <w:rFonts w:eastAsia="Yu Mincho"/>
                      <w:color w:val="0070C0"/>
                      <w:lang w:val="en-US" w:eastAsia="zh-CN"/>
                    </w:rPr>
                    <w:t xml:space="preserve">While </w:t>
                  </w:r>
                  <w:r w:rsidRPr="009305A4">
                    <w:rPr>
                      <w:rFonts w:eastAsia="Yu Mincho"/>
                      <w:color w:val="0070C0"/>
                      <w:lang w:val="en-US" w:eastAsia="zh-CN"/>
                    </w:rPr>
                    <w:t>frequency domain spectrum shaping without spectrum extension</w:t>
                  </w:r>
                  <w:r>
                    <w:rPr>
                      <w:rFonts w:eastAsia="Yu Mincho"/>
                      <w:color w:val="0070C0"/>
                      <w:lang w:val="en-US" w:eastAsia="zh-CN"/>
                    </w:rPr>
                    <w:t xml:space="preserve"> is a potential baseline, we think others are also important, potentially more so depending on the scenario.</w:t>
                  </w:r>
                </w:p>
              </w:tc>
            </w:tr>
          </w:tbl>
          <w:p w14:paraId="6945198E" w14:textId="77777777" w:rsidR="000C6D08" w:rsidRDefault="000C6D08" w:rsidP="000C6D08">
            <w:pPr>
              <w:rPr>
                <w:rFonts w:eastAsia="Yu Mincho"/>
                <w:i/>
                <w:color w:val="0070C0"/>
                <w:lang w:val="en-US" w:eastAsia="zh-CN"/>
              </w:rPr>
            </w:pPr>
          </w:p>
          <w:p w14:paraId="1AF2542D" w14:textId="77777777" w:rsidR="000C6D08" w:rsidRDefault="000C6D08" w:rsidP="000C6D08">
            <w:pPr>
              <w:rPr>
                <w:i/>
                <w:color w:val="0070C0"/>
                <w:lang w:eastAsia="zh-CN"/>
              </w:rPr>
            </w:pPr>
            <w:r>
              <w:rPr>
                <w:i/>
                <w:color w:val="0070C0"/>
                <w:lang w:eastAsia="zh-CN"/>
              </w:rPr>
              <w:t>Summary of the</w:t>
            </w:r>
            <w:r w:rsidRPr="00E15B2D">
              <w:t xml:space="preserve"> </w:t>
            </w:r>
            <w:r w:rsidRPr="00E15B2D">
              <w:rPr>
                <w:i/>
                <w:color w:val="0070C0"/>
                <w:lang w:eastAsia="zh-CN"/>
              </w:rPr>
              <w:t>2nd round comments &amp; responses</w:t>
            </w:r>
            <w:r>
              <w:rPr>
                <w:i/>
                <w:color w:val="0070C0"/>
                <w:lang w:eastAsia="zh-CN"/>
              </w:rPr>
              <w:t xml:space="preserve"> up to UTC17:00 17</w:t>
            </w:r>
            <w:r w:rsidRPr="000B1596">
              <w:rPr>
                <w:i/>
                <w:color w:val="0070C0"/>
                <w:vertAlign w:val="superscript"/>
                <w:lang w:eastAsia="zh-CN"/>
              </w:rPr>
              <w:t>th</w:t>
            </w:r>
            <w:r>
              <w:rPr>
                <w:i/>
                <w:color w:val="0070C0"/>
                <w:lang w:eastAsia="zh-CN"/>
              </w:rPr>
              <w:t xml:space="preserve"> Oct</w:t>
            </w:r>
          </w:p>
          <w:p w14:paraId="5D93F1ED" w14:textId="77777777" w:rsidR="000C6D08" w:rsidRDefault="000C6D08" w:rsidP="000C6D08">
            <w:pPr>
              <w:rPr>
                <w:i/>
                <w:color w:val="0070C0"/>
                <w:lang w:eastAsia="zh-CN"/>
              </w:rPr>
            </w:pPr>
            <w:r w:rsidRPr="000B1596">
              <w:rPr>
                <w:i/>
                <w:color w:val="0070C0"/>
                <w:highlight w:val="green"/>
                <w:lang w:eastAsia="zh-CN"/>
              </w:rPr>
              <w:t>Conclusion: WF is agreeable.  No more discussion.</w:t>
            </w:r>
          </w:p>
          <w:p w14:paraId="0FB4F80D" w14:textId="77777777" w:rsidR="000C6D08" w:rsidRDefault="000C6D08" w:rsidP="000C6D08">
            <w:pPr>
              <w:rPr>
                <w:i/>
                <w:color w:val="0070C0"/>
                <w:lang w:eastAsia="zh-CN"/>
              </w:rPr>
            </w:pPr>
            <w:r>
              <w:rPr>
                <w:i/>
                <w:color w:val="0070C0"/>
                <w:lang w:eastAsia="zh-CN"/>
              </w:rPr>
              <w:t xml:space="preserve">Reasons: the author of the WF hasn’t seen any concern on the WF. </w:t>
            </w:r>
          </w:p>
          <w:bookmarkEnd w:id="27"/>
          <w:p w14:paraId="0AEFBADB" w14:textId="77777777" w:rsidR="000C6D08" w:rsidRDefault="000C6D08" w:rsidP="003C774B">
            <w:pPr>
              <w:jc w:val="both"/>
              <w:rPr>
                <w:sz w:val="22"/>
                <w:szCs w:val="22"/>
              </w:rPr>
            </w:pPr>
          </w:p>
        </w:tc>
      </w:tr>
    </w:tbl>
    <w:p w14:paraId="3AE52248" w14:textId="77777777" w:rsidR="000C6D08" w:rsidRDefault="000C6D08" w:rsidP="003C774B">
      <w:pPr>
        <w:jc w:val="both"/>
        <w:rPr>
          <w:sz w:val="22"/>
          <w:szCs w:val="22"/>
        </w:rPr>
      </w:pPr>
    </w:p>
    <w:p w14:paraId="12A41C7D" w14:textId="3CE59112" w:rsidR="00C34F6B" w:rsidRDefault="00C34F6B" w:rsidP="003C774B">
      <w:pPr>
        <w:jc w:val="both"/>
        <w:rPr>
          <w:sz w:val="22"/>
          <w:szCs w:val="22"/>
        </w:rPr>
      </w:pPr>
    </w:p>
    <w:p w14:paraId="39C9906E" w14:textId="47A81127" w:rsidR="00C34F6B" w:rsidRPr="0092164B" w:rsidRDefault="00C34F6B" w:rsidP="00C34F6B">
      <w:pPr>
        <w:jc w:val="both"/>
        <w:rPr>
          <w:b/>
          <w:bCs/>
          <w:sz w:val="22"/>
          <w:szCs w:val="22"/>
          <w:highlight w:val="yellow"/>
          <w:lang w:eastAsia="zh-CN"/>
        </w:rPr>
      </w:pPr>
      <w:r w:rsidRPr="0092164B">
        <w:rPr>
          <w:rFonts w:eastAsia="SimSun"/>
          <w:b/>
          <w:bCs/>
          <w:sz w:val="22"/>
          <w:szCs w:val="22"/>
          <w:highlight w:val="yellow"/>
          <w:lang w:eastAsia="zh-CN"/>
        </w:rPr>
        <w:t>FL’s proposal 3-v</w:t>
      </w:r>
      <w:r>
        <w:rPr>
          <w:rFonts w:eastAsia="SimSun"/>
          <w:b/>
          <w:bCs/>
          <w:sz w:val="22"/>
          <w:szCs w:val="22"/>
          <w:highlight w:val="yellow"/>
          <w:lang w:eastAsia="zh-CN"/>
        </w:rPr>
        <w:t>5</w:t>
      </w:r>
    </w:p>
    <w:p w14:paraId="04B68F7A" w14:textId="77777777" w:rsidR="00C34F6B" w:rsidRPr="0092164B" w:rsidRDefault="00C34F6B" w:rsidP="00C34F6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59251D">
        <w:rPr>
          <w:rFonts w:eastAsia="SimSun"/>
          <w:strike/>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6AAAE1AE"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38A0D06A" w14:textId="77777777" w:rsidR="00C34F6B" w:rsidRPr="0092164B" w:rsidRDefault="00C34F6B" w:rsidP="00C34F6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C68442F"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170C721A" w14:textId="77777777" w:rsidR="00C34F6B" w:rsidRPr="00C34F6B" w:rsidRDefault="00C34F6B" w:rsidP="00C34F6B">
      <w:pPr>
        <w:jc w:val="both"/>
        <w:rPr>
          <w:strike/>
          <w:color w:val="FF0000"/>
          <w:sz w:val="22"/>
          <w:highlight w:val="yellow"/>
          <w:lang w:eastAsia="zh-CN"/>
        </w:rPr>
      </w:pPr>
      <w:r w:rsidRPr="00C34F6B">
        <w:rPr>
          <w:strike/>
          <w:color w:val="FF0000"/>
          <w:sz w:val="22"/>
          <w:highlight w:val="yellow"/>
          <w:lang w:eastAsia="zh-CN"/>
        </w:rPr>
        <w:t xml:space="preserve">Companies can study and present results for any </w:t>
      </w:r>
      <w:r w:rsidRPr="00C34F6B">
        <w:rPr>
          <w:strike/>
          <w:color w:val="00B050"/>
          <w:sz w:val="22"/>
          <w:highlight w:val="yellow"/>
          <w:lang w:eastAsia="zh-CN"/>
        </w:rPr>
        <w:t xml:space="preserve">other </w:t>
      </w:r>
      <w:r w:rsidRPr="00C34F6B">
        <w:rPr>
          <w:strike/>
          <w:color w:val="FF0000"/>
          <w:sz w:val="22"/>
          <w:highlight w:val="yellow"/>
          <w:lang w:eastAsia="zh-CN"/>
        </w:rPr>
        <w:t xml:space="preserve">transparent scheme </w:t>
      </w:r>
      <w:r w:rsidRPr="00C34F6B">
        <w:rPr>
          <w:strike/>
          <w:color w:val="00B050"/>
          <w:sz w:val="22"/>
          <w:highlight w:val="yellow"/>
          <w:u w:val="single"/>
          <w:lang w:eastAsia="zh-CN"/>
        </w:rPr>
        <w:t>(i.e. a scheme without RAN1 spec impact)</w:t>
      </w:r>
      <w:r w:rsidRPr="00C34F6B">
        <w:rPr>
          <w:strike/>
          <w:color w:val="FF0000"/>
          <w:sz w:val="22"/>
          <w:highlight w:val="yellow"/>
          <w:lang w:eastAsia="zh-CN"/>
        </w:rPr>
        <w:t xml:space="preserve"> which could be used as </w:t>
      </w:r>
      <w:r w:rsidRPr="00C34F6B">
        <w:rPr>
          <w:strike/>
          <w:color w:val="00B050"/>
          <w:sz w:val="22"/>
          <w:highlight w:val="yellow"/>
          <w:u w:val="single"/>
          <w:lang w:eastAsia="zh-CN"/>
        </w:rPr>
        <w:t xml:space="preserve">a </w:t>
      </w:r>
      <w:r w:rsidRPr="00C34F6B">
        <w:rPr>
          <w:strike/>
          <w:color w:val="FF0000"/>
          <w:sz w:val="22"/>
          <w:highlight w:val="yellow"/>
          <w:lang w:eastAsia="zh-CN"/>
        </w:rPr>
        <w:t>benchmark for assessing the performance of non-transparent solutions.</w:t>
      </w:r>
    </w:p>
    <w:p w14:paraId="53821DAB" w14:textId="77777777" w:rsidR="00C34F6B" w:rsidRPr="00C34F6B" w:rsidRDefault="00C34F6B" w:rsidP="00C34F6B">
      <w:pPr>
        <w:pStyle w:val="ListParagraph"/>
        <w:numPr>
          <w:ilvl w:val="0"/>
          <w:numId w:val="30"/>
        </w:numPr>
        <w:jc w:val="both"/>
        <w:rPr>
          <w:strike/>
          <w:color w:val="FF0000"/>
          <w:sz w:val="22"/>
          <w:highlight w:val="yellow"/>
          <w:lang w:eastAsia="zh-CN"/>
        </w:rPr>
      </w:pPr>
      <w:r w:rsidRPr="00C34F6B">
        <w:rPr>
          <w:strike/>
          <w:color w:val="00B050"/>
          <w:sz w:val="22"/>
          <w:highlight w:val="yellow"/>
          <w:u w:val="single"/>
          <w:lang w:eastAsia="zh-CN"/>
        </w:rPr>
        <w:t>Note: FDSS Frequency domain spectrum shaping w/o spectrum extension can be a transparent scheme</w:t>
      </w:r>
    </w:p>
    <w:p w14:paraId="41B91B3D" w14:textId="77777777" w:rsidR="00C34F6B" w:rsidRDefault="00C34F6B" w:rsidP="00C34F6B">
      <w:pPr>
        <w:jc w:val="both"/>
        <w:rPr>
          <w:sz w:val="22"/>
          <w:szCs w:val="22"/>
        </w:rPr>
      </w:pPr>
    </w:p>
    <w:p w14:paraId="7556BF22" w14:textId="7605C277" w:rsidR="00C34F6B" w:rsidRPr="000C1CE5" w:rsidRDefault="00C34F6B" w:rsidP="00C34F6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5</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u w:val="single"/>
        </w:rPr>
        <w:t xml:space="preserve"> and </w:t>
      </w:r>
      <w:r w:rsidRPr="00C34F6B">
        <w:rPr>
          <w:b/>
          <w:bCs/>
          <w:sz w:val="22"/>
          <w:szCs w:val="22"/>
          <w:u w:val="single"/>
        </w:rPr>
        <w:t>do not ask to go back to a previous version that was not acceptable to some companies</w:t>
      </w:r>
      <w:r>
        <w:rPr>
          <w:sz w:val="22"/>
          <w:szCs w:val="22"/>
        </w:rPr>
        <w:t>.</w:t>
      </w:r>
    </w:p>
    <w:p w14:paraId="1BEF829A" w14:textId="77777777" w:rsidR="00C34F6B" w:rsidRDefault="00C34F6B" w:rsidP="00C34F6B">
      <w:pPr>
        <w:jc w:val="both"/>
        <w:rPr>
          <w:sz w:val="22"/>
          <w:szCs w:val="22"/>
        </w:rPr>
      </w:pPr>
    </w:p>
    <w:p w14:paraId="4E71FC2D" w14:textId="2D9AB5F1" w:rsidR="00C34F6B" w:rsidRDefault="00C34F6B" w:rsidP="00C34F6B">
      <w:pPr>
        <w:jc w:val="center"/>
        <w:rPr>
          <w:b/>
          <w:bCs/>
          <w:iCs/>
          <w:sz w:val="28"/>
          <w:szCs w:val="28"/>
        </w:rPr>
      </w:pPr>
      <w:r>
        <w:rPr>
          <w:b/>
          <w:bCs/>
          <w:iCs/>
          <w:sz w:val="28"/>
          <w:szCs w:val="28"/>
          <w:highlight w:val="yellow"/>
        </w:rPr>
        <w:t>FL’s proposal 3-v5</w:t>
      </w:r>
    </w:p>
    <w:tbl>
      <w:tblPr>
        <w:tblStyle w:val="TableGrid8"/>
        <w:tblW w:w="9639" w:type="dxa"/>
        <w:tblLook w:val="04A0" w:firstRow="1" w:lastRow="0" w:firstColumn="1" w:lastColumn="0" w:noHBand="0" w:noVBand="1"/>
      </w:tblPr>
      <w:tblGrid>
        <w:gridCol w:w="1835"/>
        <w:gridCol w:w="7804"/>
      </w:tblGrid>
      <w:tr w:rsidR="00C34F6B" w14:paraId="44A9B484"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05E426F7" w14:textId="77777777" w:rsidR="00C34F6B" w:rsidRDefault="00C34F6B" w:rsidP="00404105">
            <w:pPr>
              <w:snapToGrid/>
              <w:spacing w:afterAutospacing="0" w:line="240" w:lineRule="auto"/>
              <w:jc w:val="center"/>
              <w:rPr>
                <w:b w:val="0"/>
                <w:bCs w:val="0"/>
              </w:rPr>
            </w:pPr>
            <w:r>
              <w:rPr>
                <w:b w:val="0"/>
                <w:bCs w:val="0"/>
                <w:color w:val="auto"/>
              </w:rPr>
              <w:lastRenderedPageBreak/>
              <w:t>Company</w:t>
            </w:r>
          </w:p>
        </w:tc>
        <w:tc>
          <w:tcPr>
            <w:tcW w:w="7804" w:type="dxa"/>
            <w:vAlign w:val="center"/>
          </w:tcPr>
          <w:p w14:paraId="1CB77254" w14:textId="77777777" w:rsidR="00C34F6B" w:rsidRPr="00D25209" w:rsidRDefault="00C34F6B" w:rsidP="00404105">
            <w:pPr>
              <w:snapToGrid/>
              <w:spacing w:afterAutospacing="0" w:line="240" w:lineRule="auto"/>
              <w:jc w:val="center"/>
              <w:rPr>
                <w:sz w:val="24"/>
                <w:szCs w:val="24"/>
              </w:rPr>
            </w:pPr>
            <w:r w:rsidRPr="00D25209">
              <w:rPr>
                <w:color w:val="auto"/>
                <w:sz w:val="24"/>
                <w:szCs w:val="24"/>
              </w:rPr>
              <w:t>Concerns</w:t>
            </w:r>
          </w:p>
        </w:tc>
      </w:tr>
      <w:tr w:rsidR="00C34F6B" w14:paraId="737156A5" w14:textId="77777777" w:rsidTr="00404105">
        <w:trPr>
          <w:trHeight w:val="313"/>
        </w:trPr>
        <w:tc>
          <w:tcPr>
            <w:tcW w:w="1835" w:type="dxa"/>
          </w:tcPr>
          <w:p w14:paraId="3D7F080A" w14:textId="24E50C79" w:rsidR="00C34F6B" w:rsidRPr="00860F90" w:rsidRDefault="00860F90" w:rsidP="00404105">
            <w:pPr>
              <w:snapToGrid/>
              <w:spacing w:afterAutospacing="0" w:line="240" w:lineRule="auto"/>
              <w:jc w:val="both"/>
              <w:rPr>
                <w:lang w:val="en-US" w:eastAsia="ja-JP"/>
              </w:rPr>
            </w:pPr>
            <w:r>
              <w:rPr>
                <w:lang w:val="en-US" w:eastAsia="ja-JP"/>
              </w:rPr>
              <w:t>Intel</w:t>
            </w:r>
          </w:p>
        </w:tc>
        <w:tc>
          <w:tcPr>
            <w:tcW w:w="7804" w:type="dxa"/>
          </w:tcPr>
          <w:p w14:paraId="3320345E" w14:textId="2B7C7822" w:rsidR="00C34F6B" w:rsidRDefault="00860F90" w:rsidP="00404105">
            <w:pPr>
              <w:snapToGrid/>
              <w:spacing w:afterAutospacing="0" w:line="240" w:lineRule="auto"/>
              <w:jc w:val="both"/>
              <w:rPr>
                <w:lang w:eastAsia="ja-JP"/>
              </w:rPr>
            </w:pPr>
            <w:r>
              <w:rPr>
                <w:lang w:eastAsia="ja-JP"/>
              </w:rPr>
              <w:t>It is not clear to us whether we need to remove the last two bullets. We still prefer the original version, which clearly defined the scope for performance comparison. This is also fully aligned with RAN4 agreement below:</w:t>
            </w:r>
          </w:p>
          <w:p w14:paraId="1B8C60FC" w14:textId="547B34CF" w:rsidR="00860F90" w:rsidRPr="00860F90" w:rsidRDefault="00860F90" w:rsidP="00860F90">
            <w:pPr>
              <w:pStyle w:val="ListParagraph"/>
              <w:numPr>
                <w:ilvl w:val="0"/>
                <w:numId w:val="73"/>
              </w:numPr>
              <w:jc w:val="both"/>
              <w:rPr>
                <w:lang w:eastAsia="ja-JP"/>
              </w:rPr>
            </w:pPr>
            <w:r w:rsidRPr="00860F90">
              <w:rPr>
                <w:lang w:eastAsia="ja-JP"/>
              </w:rPr>
              <w:t>Non-transparent schemes should be considered, and transparent schemes can be used as baseline to evaluate the gain of Non-transparent schemes</w:t>
            </w:r>
          </w:p>
        </w:tc>
      </w:tr>
      <w:tr w:rsidR="00C34F6B" w14:paraId="14D7ED94" w14:textId="77777777" w:rsidTr="00404105">
        <w:trPr>
          <w:trHeight w:val="313"/>
        </w:trPr>
        <w:tc>
          <w:tcPr>
            <w:tcW w:w="1835" w:type="dxa"/>
          </w:tcPr>
          <w:p w14:paraId="5E15F37F" w14:textId="77777777" w:rsidR="00C34F6B" w:rsidRDefault="00C34F6B" w:rsidP="00404105">
            <w:pPr>
              <w:tabs>
                <w:tab w:val="left" w:pos="1116"/>
              </w:tabs>
              <w:snapToGrid/>
              <w:spacing w:afterAutospacing="0" w:line="240" w:lineRule="auto"/>
              <w:jc w:val="both"/>
              <w:rPr>
                <w:lang w:eastAsia="ja-JP"/>
              </w:rPr>
            </w:pPr>
          </w:p>
        </w:tc>
        <w:tc>
          <w:tcPr>
            <w:tcW w:w="7804" w:type="dxa"/>
          </w:tcPr>
          <w:p w14:paraId="0B2B3D36" w14:textId="77777777" w:rsidR="00C34F6B" w:rsidRDefault="00C34F6B" w:rsidP="00404105">
            <w:pPr>
              <w:snapToGrid/>
              <w:spacing w:afterAutospacing="0" w:line="240" w:lineRule="auto"/>
              <w:jc w:val="both"/>
              <w:rPr>
                <w:lang w:eastAsia="ja-JP"/>
              </w:rPr>
            </w:pPr>
          </w:p>
        </w:tc>
      </w:tr>
      <w:tr w:rsidR="00C34F6B" w14:paraId="25F07E6E" w14:textId="77777777" w:rsidTr="00404105">
        <w:trPr>
          <w:trHeight w:val="300"/>
        </w:trPr>
        <w:tc>
          <w:tcPr>
            <w:tcW w:w="1835" w:type="dxa"/>
          </w:tcPr>
          <w:p w14:paraId="3AC1F9A5" w14:textId="77777777" w:rsidR="00C34F6B" w:rsidRDefault="00C34F6B" w:rsidP="00404105">
            <w:pPr>
              <w:snapToGrid/>
              <w:spacing w:afterAutospacing="0" w:line="240" w:lineRule="auto"/>
              <w:jc w:val="both"/>
              <w:rPr>
                <w:lang w:eastAsia="zh-CN"/>
              </w:rPr>
            </w:pPr>
          </w:p>
        </w:tc>
        <w:tc>
          <w:tcPr>
            <w:tcW w:w="7804" w:type="dxa"/>
          </w:tcPr>
          <w:p w14:paraId="3E92EF3B" w14:textId="77777777" w:rsidR="00C34F6B" w:rsidRPr="007A1272" w:rsidRDefault="00C34F6B" w:rsidP="00404105">
            <w:pPr>
              <w:rPr>
                <w:b/>
                <w:strike/>
                <w:color w:val="00B0F0"/>
                <w:sz w:val="22"/>
                <w:szCs w:val="22"/>
                <w:highlight w:val="yellow"/>
                <w:lang w:val="en-US"/>
              </w:rPr>
            </w:pPr>
          </w:p>
        </w:tc>
      </w:tr>
    </w:tbl>
    <w:p w14:paraId="162F0D31" w14:textId="77777777" w:rsidR="00C34F6B" w:rsidRDefault="00C34F6B" w:rsidP="00C34F6B">
      <w:pPr>
        <w:jc w:val="both"/>
        <w:rPr>
          <w:sz w:val="22"/>
          <w:szCs w:val="22"/>
        </w:rPr>
      </w:pPr>
    </w:p>
    <w:p w14:paraId="4DFB3914" w14:textId="77777777" w:rsidR="00C34F6B" w:rsidRDefault="00C34F6B" w:rsidP="003C774B">
      <w:pPr>
        <w:jc w:val="both"/>
        <w:rPr>
          <w:sz w:val="22"/>
          <w:szCs w:val="22"/>
        </w:rPr>
      </w:pPr>
    </w:p>
    <w:p w14:paraId="7C40813C" w14:textId="77777777" w:rsidR="00FE2AF1" w:rsidRPr="00FE2AF1" w:rsidRDefault="00FE2AF1" w:rsidP="00FE2AF1">
      <w:pPr>
        <w:pStyle w:val="ListParagraph"/>
        <w:ind w:left="1130"/>
      </w:pPr>
    </w:p>
    <w:p w14:paraId="4D90B876" w14:textId="1DB46045" w:rsidR="0057755D" w:rsidRDefault="00426807">
      <w:pPr>
        <w:pStyle w:val="Heading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(Huawei/HiSi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 xml:space="preserve">One company (Huawei/HiSi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 xml:space="preserve">One company (Huawei/HiSi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lastRenderedPageBreak/>
        <w:t>In addition, the following are proposes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r>
        <w:rPr>
          <w:bCs/>
          <w:i/>
          <w:iCs/>
          <w:sz w:val="22"/>
          <w:szCs w:val="22"/>
          <w:lang w:val="en-US"/>
        </w:rPr>
        <w:t>M</w:t>
      </w:r>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r>
              <w:rPr>
                <w:b/>
                <w:bCs/>
                <w:sz w:val="22"/>
                <w:lang w:val="fr-FR"/>
              </w:rPr>
              <w:t>Cyclic shift plus symmetric extension</w:t>
            </w:r>
          </w:p>
          <w:p w14:paraId="13AF9FFE" w14:textId="77777777" w:rsidR="0057755D" w:rsidRDefault="00900CAA">
            <w:pPr>
              <w:pStyle w:val="ListParagraph"/>
              <w:numPr>
                <w:ilvl w:val="0"/>
                <w:numId w:val="46"/>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signaling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lastRenderedPageBreak/>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lastRenderedPageBreak/>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r>
              <w:rPr>
                <w:lang w:eastAsia="zh-CN"/>
              </w:rPr>
              <w:lastRenderedPageBreak/>
              <w:t>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lastRenderedPageBreak/>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r>
              <w:rPr>
                <w:lang w:eastAsia="ja-JP"/>
              </w:rPr>
              <w:t>InterDigital</w:t>
            </w:r>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We are open to studying any of these, and downselecting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The key benefit of symmetric extension (compared to cyclic extension) is that inband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(w.r.t. inband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r>
              <w:rPr>
                <w:lang w:eastAsia="ja-JP"/>
              </w:rPr>
              <w:t>InterDigital</w:t>
            </w:r>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lastRenderedPageBreak/>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CovEnh.</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Specific filter should not be assumed in the RAN1 study. This is the implementation behavior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r>
              <w:rPr>
                <w:rFonts w:hint="eastAsia"/>
                <w:lang w:val="en-US" w:eastAsia="zh-CN"/>
              </w:rPr>
              <w:t>can not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r>
              <w:rPr>
                <w:lang w:eastAsia="zh-CN"/>
              </w:rPr>
              <w:t>InterDigital</w:t>
            </w:r>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lastRenderedPageBreak/>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Huawei/HiSi)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lastRenderedPageBreak/>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r>
              <w:rPr>
                <w:lang w:eastAsia="zh-CN"/>
              </w:rPr>
              <w:t>Spreadtrum</w:t>
            </w:r>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The proposal is updated to account for vivo’s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lastRenderedPageBreak/>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r>
              <w:rPr>
                <w:lang w:eastAsia="zh-CN"/>
              </w:rPr>
              <w:t>InterDigital</w:t>
            </w:r>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r>
              <w:rPr>
                <w:lang w:eastAsia="zh-CN"/>
              </w:rPr>
              <w:t>Spreadtrum</w:t>
            </w:r>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r>
              <w:rPr>
                <w:lang w:eastAsia="zh-CN"/>
              </w:rPr>
              <w:t>InterDigital</w:t>
            </w:r>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InterDigital) prefer keeping the bullet for clarifying the work in Rel-18. </w:t>
      </w:r>
    </w:p>
    <w:p w14:paraId="6D694414" w14:textId="0B2F18F0" w:rsidR="00E71A7A" w:rsidRDefault="0086785F" w:rsidP="00082966">
      <w:pPr>
        <w:jc w:val="both"/>
        <w:rPr>
          <w:sz w:val="22"/>
          <w:szCs w:val="22"/>
        </w:rPr>
      </w:pPr>
      <w:r>
        <w:rPr>
          <w:sz w:val="22"/>
          <w:szCs w:val="22"/>
        </w:rPr>
        <w:lastRenderedPageBreak/>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(Huawei/HiSi) on the wording of the 3</w:t>
      </w:r>
      <w:r w:rsidRPr="000A3C22">
        <w:rPr>
          <w:sz w:val="22"/>
          <w:szCs w:val="22"/>
          <w:vertAlign w:val="superscript"/>
          <w:lang w:val="en-US"/>
        </w:rPr>
        <w:t>rd</w:t>
      </w:r>
      <w:r w:rsidRPr="000A3C22">
        <w:rPr>
          <w:sz w:val="22"/>
          <w:szCs w:val="22"/>
          <w:lang w:val="en-US"/>
        </w:rPr>
        <w:t xml:space="preserve"> bullet of the FFS. Specifically, Huawei/HiSi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t>The agreement of “Both data and DMRS would be filtered” in Rel-17 pi/2 BPSK SI should be inherited to all candidate modulations to be agreed in Rel-18 CE WI</w:t>
            </w:r>
          </w:p>
          <w:p w14:paraId="48DB6E18" w14:textId="77777777" w:rsidR="00426807" w:rsidRDefault="00426807" w:rsidP="007A0611">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lastRenderedPageBreak/>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r>
        <w:rPr>
          <w:sz w:val="22"/>
          <w:szCs w:val="22"/>
          <w:lang w:eastAsia="zh-CN"/>
        </w:rPr>
        <w:lastRenderedPageBreak/>
        <w:t>Foir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Huawei, HiSilicon</w:t>
            </w:r>
          </w:p>
        </w:tc>
        <w:tc>
          <w:tcPr>
            <w:tcW w:w="7662" w:type="dxa"/>
          </w:tcPr>
          <w:p w14:paraId="240DD615" w14:textId="77777777" w:rsidR="00426807" w:rsidRDefault="003C282B" w:rsidP="007A0611">
            <w:pPr>
              <w:jc w:val="both"/>
              <w:rPr>
                <w:lang w:eastAsia="ja-JP"/>
              </w:rPr>
            </w:pPr>
            <w:r>
              <w:rPr>
                <w:lang w:eastAsia="ja-JP"/>
              </w:rPr>
              <w:t>Thanks FL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426807" w14:paraId="44C4EA38" w14:textId="77777777" w:rsidTr="007A0611">
        <w:trPr>
          <w:trHeight w:val="313"/>
        </w:trPr>
        <w:tc>
          <w:tcPr>
            <w:tcW w:w="1977" w:type="dxa"/>
          </w:tcPr>
          <w:p w14:paraId="1FC3CB9C" w14:textId="77777777" w:rsidR="00426807" w:rsidRDefault="00426807" w:rsidP="007A0611">
            <w:pPr>
              <w:jc w:val="center"/>
              <w:rPr>
                <w:lang w:eastAsia="zh-CN"/>
              </w:rPr>
            </w:pPr>
          </w:p>
        </w:tc>
        <w:tc>
          <w:tcPr>
            <w:tcW w:w="7662" w:type="dxa"/>
          </w:tcPr>
          <w:p w14:paraId="3566D34C" w14:textId="77777777" w:rsidR="00426807" w:rsidRDefault="00426807" w:rsidP="007A0611">
            <w:pPr>
              <w:jc w:val="both"/>
              <w:rPr>
                <w:lang w:eastAsia="zh-CN"/>
              </w:rPr>
            </w:pP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lastRenderedPageBreak/>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Concerning the reserved tones generation, some options have been mentioned in different companies Tdocs,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Aslo, for performance evaluations, how sideband size is determined is more important than what </w:t>
            </w:r>
            <w:r>
              <w:rPr>
                <w:lang w:eastAsia="zh-CN"/>
              </w:rPr>
              <w:pgNum/>
            </w:r>
            <w:r>
              <w:rPr>
                <w:lang w:eastAsia="zh-CN"/>
              </w:rPr>
              <w:t>ignalling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lastRenderedPageBreak/>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r>
              <w:rPr>
                <w:lang w:eastAsia="ja-JP"/>
              </w:rPr>
              <w:lastRenderedPageBreak/>
              <w:t>InterDigital</w:t>
            </w:r>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r>
              <w:rPr>
                <w:lang w:eastAsia="zh-CN"/>
              </w:rPr>
              <w:t>InterDigital</w:t>
            </w:r>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lastRenderedPageBreak/>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r>
              <w:rPr>
                <w:lang w:eastAsia="zh-CN"/>
              </w:rPr>
              <w:t>Spreadtrum</w:t>
            </w:r>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r>
              <w:rPr>
                <w:lang w:eastAsia="zh-CN"/>
              </w:rPr>
              <w:t>InterDigital</w:t>
            </w:r>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9" w:name="_Toc503902285"/>
      <w:bookmarkStart w:id="30"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lastRenderedPageBreak/>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(Huawei/HiSi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lastRenderedPageBreak/>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lastRenderedPageBreak/>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lastRenderedPageBreak/>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lastRenderedPageBreak/>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lastRenderedPageBreak/>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bullet in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lastRenderedPageBreak/>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t>Huawei</w:t>
            </w:r>
            <w:r>
              <w:rPr>
                <w:lang w:eastAsia="zh-CN"/>
              </w:rPr>
              <w:t>, HiSilicon</w:t>
            </w:r>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to add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w.r.t.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FFS: refinement and/or downselection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But,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lastRenderedPageBreak/>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r w:rsidRPr="00CA154C">
              <w:rPr>
                <w:lang w:eastAsia="zh-CN"/>
              </w:rPr>
              <w:t>Yes; this is a good point.  The performance/complexity tradeoffs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For FDSS, the tx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r w:rsidRPr="00A456B4">
              <w:rPr>
                <w:lang w:eastAsia="zh-CN"/>
              </w:rPr>
              <w:t>realistic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r>
              <w:rPr>
                <w:lang w:eastAsia="zh-CN"/>
              </w:rPr>
              <w:t>Yes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lastRenderedPageBreak/>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 xml:space="preserve">I understand that the look of FL’s proposal 10-v2 looks very different from FL’s proposal 10-v1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lastRenderedPageBreak/>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744BA0" w14:paraId="38048EC2" w14:textId="77777777" w:rsidTr="007A0611">
        <w:trPr>
          <w:trHeight w:val="313"/>
        </w:trPr>
        <w:tc>
          <w:tcPr>
            <w:tcW w:w="1977" w:type="dxa"/>
          </w:tcPr>
          <w:p w14:paraId="00FE8959" w14:textId="77777777" w:rsidR="00744BA0" w:rsidRDefault="00744BA0" w:rsidP="007A0611">
            <w:pPr>
              <w:jc w:val="both"/>
              <w:rPr>
                <w:lang w:eastAsia="ja-JP"/>
              </w:rPr>
            </w:pPr>
          </w:p>
        </w:tc>
        <w:tc>
          <w:tcPr>
            <w:tcW w:w="7662" w:type="dxa"/>
          </w:tcPr>
          <w:p w14:paraId="3FE7BB2D" w14:textId="77777777" w:rsidR="00744BA0" w:rsidRDefault="00744BA0" w:rsidP="007A0611">
            <w:pPr>
              <w:jc w:val="both"/>
              <w:rPr>
                <w:lang w:eastAsia="ja-JP"/>
              </w:rPr>
            </w:pP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lastRenderedPageBreak/>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744BA0" w14:paraId="3EBA9A25" w14:textId="77777777" w:rsidTr="007A0611">
        <w:trPr>
          <w:trHeight w:val="313"/>
        </w:trPr>
        <w:tc>
          <w:tcPr>
            <w:tcW w:w="1977" w:type="dxa"/>
          </w:tcPr>
          <w:p w14:paraId="195D3855" w14:textId="77777777" w:rsidR="00744BA0" w:rsidRDefault="00744BA0" w:rsidP="007A0611">
            <w:pPr>
              <w:jc w:val="both"/>
              <w:rPr>
                <w:lang w:eastAsia="ja-JP"/>
              </w:rPr>
            </w:pPr>
          </w:p>
        </w:tc>
        <w:tc>
          <w:tcPr>
            <w:tcW w:w="7662" w:type="dxa"/>
          </w:tcPr>
          <w:p w14:paraId="2846C9DB" w14:textId="77777777" w:rsidR="00744BA0" w:rsidRDefault="00744BA0" w:rsidP="007A0611">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744BA0" w14:paraId="70EC933D" w14:textId="77777777" w:rsidTr="007A0611">
        <w:trPr>
          <w:trHeight w:val="313"/>
        </w:trPr>
        <w:tc>
          <w:tcPr>
            <w:tcW w:w="1977" w:type="dxa"/>
          </w:tcPr>
          <w:p w14:paraId="4C0A17BF" w14:textId="77777777" w:rsidR="00744BA0" w:rsidRDefault="00744BA0" w:rsidP="007A0611">
            <w:pPr>
              <w:jc w:val="center"/>
              <w:rPr>
                <w:lang w:eastAsia="zh-CN"/>
              </w:rPr>
            </w:pPr>
          </w:p>
        </w:tc>
        <w:tc>
          <w:tcPr>
            <w:tcW w:w="7662" w:type="dxa"/>
          </w:tcPr>
          <w:p w14:paraId="3A3DD3A1" w14:textId="77777777" w:rsidR="00744BA0" w:rsidRDefault="00744BA0" w:rsidP="007A0611">
            <w:pPr>
              <w:jc w:val="both"/>
              <w:rPr>
                <w:lang w:eastAsia="zh-CN"/>
              </w:rPr>
            </w:pP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lastRenderedPageBreak/>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lastRenderedPageBreak/>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8"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Urban should be fine for 4 GHz and 28 GHz, with rural for 700 MHz.</w:t>
            </w:r>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31"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lastRenderedPageBreak/>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lastRenderedPageBreak/>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31"/>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At least FR2 commonly uses two Tx.  While power statistics per Tx chain should be pretty independent, if there is Tx diversity gain, then BLER operating points could be impacted, and the relative performance of MPR reduction schemes could be different.  Suggest to make 2 Tx optional (as we did for the Rel-17 cov enh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 xml:space="preserve">The number of PRBs seems to be from 38.868, which concentrates on Pi/2 and 4 GHz.  Coherence bandwidth for 30ns is ~30MHz, and so from a frequency diversity standpoint, 64 PRBs is a bit on the small side even for 30 kHz SCS.  If we have to pick </w:t>
            </w:r>
            <w:r>
              <w:rPr>
                <w:lang w:eastAsia="zh-CN"/>
              </w:rPr>
              <w:lastRenderedPageBreak/>
              <w:t>something now, we could try something like [2,4,8,16,Nprb/3,Nprb/2,Nprb], where Nprb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[2,4,8,16,Nrb/3,Nrb/2,Nrb], where  Nrb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also important. To have more aligned evaluation results, we suggest to add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Huawei, HiSilicon</w:t>
            </w:r>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The numbers you propose are quite specific and large. This applies to the Nrb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 xml:space="preserve">@vivo: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w:t>
      </w:r>
      <w:r>
        <w:rPr>
          <w:sz w:val="22"/>
          <w:szCs w:val="22"/>
        </w:rPr>
        <w:lastRenderedPageBreak/>
        <w:t xml:space="preserve">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8B7DF4" w14:paraId="5F4DC951" w14:textId="77777777" w:rsidTr="007A0611">
        <w:trPr>
          <w:trHeight w:val="313"/>
        </w:trPr>
        <w:tc>
          <w:tcPr>
            <w:tcW w:w="1977" w:type="dxa"/>
          </w:tcPr>
          <w:p w14:paraId="167EC70E" w14:textId="77777777" w:rsidR="008B7DF4" w:rsidRDefault="008B7DF4" w:rsidP="008B7DF4">
            <w:pPr>
              <w:jc w:val="center"/>
              <w:rPr>
                <w:lang w:eastAsia="zh-CN"/>
              </w:rPr>
            </w:pPr>
          </w:p>
        </w:tc>
        <w:tc>
          <w:tcPr>
            <w:tcW w:w="7662" w:type="dxa"/>
          </w:tcPr>
          <w:p w14:paraId="18A72547" w14:textId="77777777" w:rsidR="008B7DF4" w:rsidRDefault="008B7DF4" w:rsidP="008B7DF4">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 xml:space="preserve">One company (Huawei/HiSi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9"/>
    <w:bookmarkEnd w:id="30"/>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gNB are needed </w:t>
      </w:r>
      <w:r w:rsidRPr="007D1B71">
        <w:rPr>
          <w:strike/>
          <w:color w:val="FF0000"/>
          <w:sz w:val="22"/>
          <w:szCs w:val="22"/>
          <w:lang w:eastAsia="ja-JP"/>
        </w:rPr>
        <w:t>at gNB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lastRenderedPageBreak/>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(i.e.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lastRenderedPageBreak/>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lastRenderedPageBreak/>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lastRenderedPageBreak/>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2"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Spreadtrum</w:t>
      </w:r>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InterDigital,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Power domain enhancements for Rel-18 CovEnh</w:t>
      </w:r>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2"/>
    <w:p w14:paraId="5B674F27" w14:textId="77777777" w:rsidR="0057755D" w:rsidRDefault="00900CAA">
      <w:pPr>
        <w:pStyle w:val="Heading1"/>
        <w:ind w:left="2268" w:hanging="2268"/>
        <w:jc w:val="both"/>
        <w:rPr>
          <w:lang w:val="en-US"/>
        </w:rPr>
      </w:pPr>
      <w:r>
        <w:rPr>
          <w:lang w:val="en-US"/>
        </w:rPr>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lastRenderedPageBreak/>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3" w:name="_Hlk115708520"/>
            <w:r>
              <w:rPr>
                <w:i/>
                <w:lang w:eastAsia="zh-CN"/>
              </w:rPr>
              <w:t xml:space="preserve">HPUE related power domain enhancement </w:t>
            </w:r>
            <w:bookmarkEnd w:id="33"/>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A new signaling/report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R1-2209662 InterDigital</w:t>
            </w:r>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signaling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signaling to allow UE to report energy headroom for each of the bands in a CA/DC configuration given to the UE. </w:t>
            </w:r>
          </w:p>
          <w:p w14:paraId="0C36A663" w14:textId="77777777" w:rsidR="0057755D" w:rsidRDefault="00900CAA">
            <w:pPr>
              <w:rPr>
                <w:b/>
                <w:bCs/>
                <w:lang w:val="en-US"/>
              </w:rPr>
            </w:pPr>
            <w:r>
              <w:rPr>
                <w:i/>
                <w:iCs/>
                <w:lang w:eastAsia="ja-JP"/>
              </w:rPr>
              <w:t>FFS: signaling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lastRenderedPageBreak/>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Huawei/HiSi</w:t>
            </w:r>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lastRenderedPageBreak/>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4"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lastRenderedPageBreak/>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4"/>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5" w:name="_Hlk115797007"/>
            <w:r>
              <w:rPr>
                <w:rFonts w:eastAsia="SimSun"/>
                <w:b/>
              </w:rPr>
              <w:t>R1-2208412 Huawei/HiSi</w:t>
            </w:r>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R1-2208576 Spreadtrum</w:t>
            </w:r>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R1-2209662 InterDigital</w:t>
            </w:r>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6" w:name="_Hlk115878672"/>
            <w:r>
              <w:rPr>
                <w:i/>
              </w:rPr>
              <w:t>transparent MPR reduction schemes to consider include clipping and filtering, companding, and digital predistortion.</w:t>
            </w:r>
            <w:bookmarkEnd w:id="36"/>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lastRenderedPageBreak/>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5"/>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Huawei/HiSi</w:t>
            </w:r>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Huawei/HiSi</w:t>
            </w:r>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4E3A" w14:textId="77777777" w:rsidR="00907B87" w:rsidRDefault="00907B87">
      <w:pPr>
        <w:spacing w:after="0"/>
      </w:pPr>
      <w:r>
        <w:separator/>
      </w:r>
    </w:p>
  </w:endnote>
  <w:endnote w:type="continuationSeparator" w:id="0">
    <w:p w14:paraId="5E8A10D2" w14:textId="77777777" w:rsidR="00907B87" w:rsidRDefault="00907B87">
      <w:pPr>
        <w:spacing w:after="0"/>
      </w:pPr>
      <w:r>
        <w:continuationSeparator/>
      </w:r>
    </w:p>
  </w:endnote>
  <w:endnote w:type="continuationNotice" w:id="1">
    <w:p w14:paraId="2A0375D4" w14:textId="77777777" w:rsidR="00907B87" w:rsidRDefault="00907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2F7E" w14:textId="77777777" w:rsidR="00907B87" w:rsidRDefault="00907B87">
      <w:pPr>
        <w:spacing w:after="0"/>
      </w:pPr>
      <w:r>
        <w:separator/>
      </w:r>
    </w:p>
  </w:footnote>
  <w:footnote w:type="continuationSeparator" w:id="0">
    <w:p w14:paraId="2C49B14C" w14:textId="77777777" w:rsidR="00907B87" w:rsidRDefault="00907B87">
      <w:pPr>
        <w:spacing w:after="0"/>
      </w:pPr>
      <w:r>
        <w:continuationSeparator/>
      </w:r>
    </w:p>
  </w:footnote>
  <w:footnote w:type="continuationNotice" w:id="1">
    <w:p w14:paraId="438CA89C" w14:textId="77777777" w:rsidR="00907B87" w:rsidRDefault="00907B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7A0611" w:rsidRDefault="007A06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149"/>
    <w:multiLevelType w:val="multilevel"/>
    <w:tmpl w:val="03C96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469EC"/>
    <w:multiLevelType w:val="hybridMultilevel"/>
    <w:tmpl w:val="2B4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num>
  <w:num w:numId="2">
    <w:abstractNumId w:val="57"/>
  </w:num>
  <w:num w:numId="3">
    <w:abstractNumId w:val="34"/>
  </w:num>
  <w:num w:numId="4">
    <w:abstractNumId w:val="12"/>
  </w:num>
  <w:num w:numId="5">
    <w:abstractNumId w:val="5"/>
  </w:num>
  <w:num w:numId="6">
    <w:abstractNumId w:val="22"/>
  </w:num>
  <w:num w:numId="7">
    <w:abstractNumId w:val="31"/>
  </w:num>
  <w:num w:numId="8">
    <w:abstractNumId w:val="58"/>
  </w:num>
  <w:num w:numId="9">
    <w:abstractNumId w:val="50"/>
  </w:num>
  <w:num w:numId="10">
    <w:abstractNumId w:val="40"/>
  </w:num>
  <w:num w:numId="11">
    <w:abstractNumId w:val="37"/>
  </w:num>
  <w:num w:numId="12">
    <w:abstractNumId w:val="65"/>
  </w:num>
  <w:num w:numId="13">
    <w:abstractNumId w:val="36"/>
  </w:num>
  <w:num w:numId="14">
    <w:abstractNumId w:val="38"/>
  </w:num>
  <w:num w:numId="15">
    <w:abstractNumId w:val="2"/>
  </w:num>
  <w:num w:numId="16">
    <w:abstractNumId w:val="81"/>
  </w:num>
  <w:num w:numId="17">
    <w:abstractNumId w:val="52"/>
  </w:num>
  <w:num w:numId="18">
    <w:abstractNumId w:val="11"/>
  </w:num>
  <w:num w:numId="19">
    <w:abstractNumId w:val="66"/>
  </w:num>
  <w:num w:numId="20">
    <w:abstractNumId w:val="35"/>
  </w:num>
  <w:num w:numId="21">
    <w:abstractNumId w:val="59"/>
  </w:num>
  <w:num w:numId="22">
    <w:abstractNumId w:val="28"/>
  </w:num>
  <w:num w:numId="23">
    <w:abstractNumId w:val="26"/>
  </w:num>
  <w:num w:numId="24">
    <w:abstractNumId w:val="25"/>
  </w:num>
  <w:num w:numId="25">
    <w:abstractNumId w:val="17"/>
  </w:num>
  <w:num w:numId="26">
    <w:abstractNumId w:val="20"/>
  </w:num>
  <w:num w:numId="27">
    <w:abstractNumId w:val="24"/>
  </w:num>
  <w:num w:numId="28">
    <w:abstractNumId w:val="77"/>
  </w:num>
  <w:num w:numId="29">
    <w:abstractNumId w:val="46"/>
  </w:num>
  <w:num w:numId="30">
    <w:abstractNumId w:val="32"/>
  </w:num>
  <w:num w:numId="31">
    <w:abstractNumId w:val="47"/>
  </w:num>
  <w:num w:numId="32">
    <w:abstractNumId w:val="16"/>
  </w:num>
  <w:num w:numId="33">
    <w:abstractNumId w:val="21"/>
  </w:num>
  <w:num w:numId="34">
    <w:abstractNumId w:val="23"/>
  </w:num>
  <w:num w:numId="35">
    <w:abstractNumId w:val="69"/>
  </w:num>
  <w:num w:numId="36">
    <w:abstractNumId w:val="75"/>
  </w:num>
  <w:num w:numId="37">
    <w:abstractNumId w:val="1"/>
  </w:num>
  <w:num w:numId="38">
    <w:abstractNumId w:val="3"/>
  </w:num>
  <w:num w:numId="39">
    <w:abstractNumId w:val="4"/>
  </w:num>
  <w:num w:numId="40">
    <w:abstractNumId w:val="67"/>
  </w:num>
  <w:num w:numId="41">
    <w:abstractNumId w:val="76"/>
  </w:num>
  <w:num w:numId="42">
    <w:abstractNumId w:val="29"/>
  </w:num>
  <w:num w:numId="43">
    <w:abstractNumId w:val="14"/>
  </w:num>
  <w:num w:numId="44">
    <w:abstractNumId w:val="64"/>
  </w:num>
  <w:num w:numId="45">
    <w:abstractNumId w:val="33"/>
  </w:num>
  <w:num w:numId="46">
    <w:abstractNumId w:val="71"/>
  </w:num>
  <w:num w:numId="47">
    <w:abstractNumId w:val="30"/>
  </w:num>
  <w:num w:numId="48">
    <w:abstractNumId w:val="19"/>
  </w:num>
  <w:num w:numId="49">
    <w:abstractNumId w:val="39"/>
  </w:num>
  <w:num w:numId="50">
    <w:abstractNumId w:val="42"/>
  </w:num>
  <w:num w:numId="51">
    <w:abstractNumId w:val="6"/>
  </w:num>
  <w:num w:numId="52">
    <w:abstractNumId w:val="70"/>
  </w:num>
  <w:num w:numId="53">
    <w:abstractNumId w:val="55"/>
  </w:num>
  <w:num w:numId="54">
    <w:abstractNumId w:val="27"/>
  </w:num>
  <w:num w:numId="55">
    <w:abstractNumId w:val="49"/>
  </w:num>
  <w:num w:numId="56">
    <w:abstractNumId w:val="68"/>
  </w:num>
  <w:num w:numId="57">
    <w:abstractNumId w:val="43"/>
  </w:num>
  <w:num w:numId="58">
    <w:abstractNumId w:val="9"/>
  </w:num>
  <w:num w:numId="59">
    <w:abstractNumId w:val="18"/>
  </w:num>
  <w:num w:numId="60">
    <w:abstractNumId w:val="13"/>
  </w:num>
  <w:num w:numId="61">
    <w:abstractNumId w:val="79"/>
  </w:num>
  <w:num w:numId="62">
    <w:abstractNumId w:val="48"/>
  </w:num>
  <w:num w:numId="63">
    <w:abstractNumId w:val="62"/>
  </w:num>
  <w:num w:numId="64">
    <w:abstractNumId w:val="51"/>
  </w:num>
  <w:num w:numId="65">
    <w:abstractNumId w:val="73"/>
  </w:num>
  <w:num w:numId="66">
    <w:abstractNumId w:val="7"/>
  </w:num>
  <w:num w:numId="67">
    <w:abstractNumId w:val="56"/>
  </w:num>
  <w:num w:numId="68">
    <w:abstractNumId w:val="8"/>
  </w:num>
  <w:num w:numId="69">
    <w:abstractNumId w:val="82"/>
  </w:num>
  <w:num w:numId="70">
    <w:abstractNumId w:val="10"/>
  </w:num>
  <w:num w:numId="71">
    <w:abstractNumId w:val="72"/>
  </w:num>
  <w:num w:numId="72">
    <w:abstractNumId w:val="80"/>
  </w:num>
  <w:num w:numId="73">
    <w:abstractNumId w:val="78"/>
  </w:num>
  <w:num w:numId="74">
    <w:abstractNumId w:val="54"/>
  </w:num>
  <w:num w:numId="75">
    <w:abstractNumId w:val="53"/>
  </w:num>
  <w:num w:numId="76">
    <w:abstractNumId w:val="15"/>
  </w:num>
  <w:num w:numId="77">
    <w:abstractNumId w:val="41"/>
  </w:num>
  <w:num w:numId="78">
    <w:abstractNumId w:val="74"/>
  </w:num>
  <w:num w:numId="79">
    <w:abstractNumId w:val="45"/>
  </w:num>
  <w:num w:numId="80">
    <w:abstractNumId w:val="60"/>
  </w:num>
  <w:num w:numId="81">
    <w:abstractNumId w:val="63"/>
  </w:num>
  <w:num w:numId="82">
    <w:abstractNumId w:val="61"/>
  </w:num>
  <w:num w:numId="83">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08"/>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51D"/>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0F90"/>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07B87"/>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4F6B"/>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 w:type="character" w:styleId="UnresolvedMention">
    <w:name w:val="Unresolved Mention"/>
    <w:basedOn w:val="DefaultParagraphFont"/>
    <w:uiPriority w:val="99"/>
    <w:semiHidden/>
    <w:unhideWhenUsed/>
    <w:rsid w:val="0059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Specs/archive/38_series/38.868/38868-h0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4bis-e/Inbox/Drafts/%5B104-bis-e%5D%5B142%5D%20NR_cov_enh2_part2/Rnd2/WF/draft_WF%20on%20enhancements%20to%20reduce%20MPR%26PAR_v09_EAB.doc"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645DE-8E96-4BBE-A0E1-B10B72F42F4C}">
  <ds:schemaRefs>
    <ds:schemaRef ds:uri="http://schemas.openxmlformats.org/officeDocument/2006/bibliography"/>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89</Pages>
  <Words>32050</Words>
  <Characters>182689</Characters>
  <Application>Microsoft Office Word</Application>
  <DocSecurity>0</DocSecurity>
  <Lines>1522</Lines>
  <Paragraphs>428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214311</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Xiong, Gang</cp:lastModifiedBy>
  <cp:revision>3</cp:revision>
  <cp:lastPrinted>1901-01-01T01:00:00Z</cp:lastPrinted>
  <dcterms:created xsi:type="dcterms:W3CDTF">2022-10-18T04:38:00Z</dcterms:created>
  <dcterms:modified xsi:type="dcterms:W3CDTF">2022-10-18T04:56:00Z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