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w:t>
            </w:r>
            <w:proofErr w:type="gramStart"/>
            <w:r>
              <w:rPr>
                <w:lang w:eastAsia="zh-CN"/>
              </w:rPr>
              <w:t>in order to</w:t>
            </w:r>
            <w:proofErr w:type="gramEnd"/>
            <w:r>
              <w:rPr>
                <w:lang w:eastAsia="zh-CN"/>
              </w:rPr>
              <w:t xml:space="preserve">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gNB's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BE0DD92" w:rsidR="0057755D" w:rsidRDefault="00C34F6B">
      <w:pPr>
        <w:pStyle w:val="Heading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 xml:space="preserve">There is no RAN1 issue identified for Rel-17 RAN4 work. If </w:t>
            </w:r>
            <w:proofErr w:type="gramStart"/>
            <w:r>
              <w:rPr>
                <w:lang w:eastAsia="zh-CN"/>
              </w:rPr>
              <w:t>anything</w:t>
            </w:r>
            <w:proofErr w:type="gramEnd"/>
            <w:r>
              <w:rPr>
                <w:lang w:eastAsia="zh-CN"/>
              </w:rPr>
              <w:t xml:space="preserve">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7777777" w:rsidR="00C34F6B" w:rsidRDefault="00C34F6B" w:rsidP="00C34F6B">
      <w:pPr>
        <w:jc w:val="both"/>
        <w:rPr>
          <w:b/>
          <w:bCs/>
          <w:sz w:val="24"/>
          <w:szCs w:val="24"/>
          <w:highlight w:val="cyan"/>
          <w:lang w:val="en-US"/>
        </w:rPr>
      </w:pPr>
      <w:r>
        <w:rPr>
          <w:b/>
          <w:bCs/>
          <w:sz w:val="24"/>
          <w:szCs w:val="24"/>
          <w:highlight w:val="cyan"/>
          <w:lang w:val="en-US"/>
        </w:rPr>
        <w:t>FL’s comment on October 17 [after GTW]</w:t>
      </w:r>
    </w:p>
    <w:p w14:paraId="24D58218" w14:textId="22ED08A1" w:rsidR="00C34F6B" w:rsidRPr="00C34F6B" w:rsidRDefault="00C34F6B" w:rsidP="003C774B">
      <w:pPr>
        <w:rPr>
          <w:lang w:val="en-US"/>
        </w:rPr>
      </w:pPr>
      <w:r>
        <w:rPr>
          <w:lang w:val="en-US"/>
        </w:rPr>
        <w:t xml:space="preserve">An agreement was made during today’s </w:t>
      </w:r>
      <w:proofErr w:type="gramStart"/>
      <w:r>
        <w:rPr>
          <w:lang w:val="en-US"/>
        </w:rPr>
        <w:t>GTW</w:t>
      </w:r>
      <w:proofErr w:type="gramEnd"/>
      <w:r>
        <w:rPr>
          <w:lang w:val="en-US"/>
        </w:rPr>
        <w:t xml:space="preserve"> and an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lastRenderedPageBreak/>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lastRenderedPageBreak/>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lastRenderedPageBreak/>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lastRenderedPageBreak/>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lastRenderedPageBreak/>
              <w:t>Huawei, HiSilicon</w:t>
            </w:r>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lastRenderedPageBreak/>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lastRenderedPageBreak/>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lastRenderedPageBreak/>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lastRenderedPageBreak/>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lastRenderedPageBreak/>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 xml:space="preserve">Pi/2 BPSK without spectrum extension has been studied extensively already (Rel-15 – Rel-17). Furthermore, based on our results and results in at least [3] and </w:t>
            </w:r>
            <w:r>
              <w:rPr>
                <w:lang w:val="en-US" w:eastAsia="zh-CN"/>
              </w:rPr>
              <w:lastRenderedPageBreak/>
              <w:t>[4],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w:t>
            </w:r>
            <w:r>
              <w:rPr>
                <w:lang w:eastAsia="zh-CN"/>
              </w:rPr>
              <w:lastRenderedPageBreak/>
              <w:t xml:space="preserve">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t>
      </w:r>
      <w:r>
        <w:rPr>
          <w:sz w:val="22"/>
          <w:szCs w:val="22"/>
        </w:rPr>
        <w:lastRenderedPageBreak/>
        <w:t>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lastRenderedPageBreak/>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 xml:space="preserve">However, this concern </w:t>
      </w:r>
      <w:proofErr w:type="spellStart"/>
      <w:r w:rsidR="0092164B" w:rsidRPr="00426807">
        <w:rPr>
          <w:sz w:val="22"/>
          <w:szCs w:val="22"/>
        </w:rPr>
        <w:t>deos</w:t>
      </w:r>
      <w:proofErr w:type="spellEnd"/>
      <w:r w:rsidR="0092164B" w:rsidRPr="00426807">
        <w:rPr>
          <w:sz w:val="22"/>
          <w:szCs w:val="22"/>
        </w:rPr>
        <w:t xml:space="preserve"> not seem formally correct since a transparent technique is not defined as such </w:t>
      </w:r>
      <w:proofErr w:type="spellStart"/>
      <w:r w:rsidR="0092164B" w:rsidRPr="00426807">
        <w:rPr>
          <w:sz w:val="22"/>
          <w:szCs w:val="22"/>
        </w:rPr>
        <w:t>w.r.t.</w:t>
      </w:r>
      <w:proofErr w:type="spellEnd"/>
      <w:r w:rsidR="0092164B" w:rsidRPr="00426807">
        <w:rPr>
          <w:sz w:val="22"/>
          <w:szCs w:val="22"/>
        </w:rPr>
        <w:t xml:space="preserve">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proofErr w:type="gramStart"/>
                  <w:r w:rsidRPr="00426807">
                    <w:rPr>
                      <w:rFonts w:eastAsia="Times New Roman"/>
                      <w:color w:val="498205"/>
                      <w:sz w:val="22"/>
                      <w:szCs w:val="22"/>
                      <w:u w:val="single"/>
                      <w:lang w:val="en-US" w:eastAsia="fr-FR"/>
                    </w:rPr>
                    <w:t>Fine  with</w:t>
                  </w:r>
                  <w:proofErr w:type="gramEnd"/>
                  <w:r w:rsidRPr="00426807">
                    <w:rPr>
                      <w:rFonts w:eastAsia="Times New Roman"/>
                      <w:color w:val="498205"/>
                      <w:sz w:val="22"/>
                      <w:szCs w:val="22"/>
                      <w:u w:val="single"/>
                      <w:lang w:val="en-US" w:eastAsia="fr-FR"/>
                    </w:rPr>
                    <w:t xml:space="preserve">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30DD6C7F"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17</w:t>
      </w:r>
      <w:r>
        <w:rPr>
          <w:b/>
          <w:bCs/>
          <w:sz w:val="24"/>
          <w:szCs w:val="24"/>
          <w:highlight w:val="cyan"/>
          <w:lang w:val="en-US"/>
        </w:rPr>
        <w:t xml:space="preserve">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Hyperlink"/>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TableGrid"/>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Heading2"/>
              <w:rPr>
                <w:rFonts w:hint="eastAsia"/>
                <w:sz w:val="24"/>
                <w:szCs w:val="24"/>
                <w:lang w:eastAsia="zh-CN"/>
              </w:rPr>
            </w:pPr>
            <w:r>
              <w:rPr>
                <w:sz w:val="24"/>
                <w:szCs w:val="24"/>
              </w:rPr>
              <w:lastRenderedPageBreak/>
              <w:t xml:space="preserve">Handling of transparent and </w:t>
            </w:r>
            <w:proofErr w:type="gramStart"/>
            <w:r>
              <w:rPr>
                <w:sz w:val="24"/>
                <w:szCs w:val="24"/>
              </w:rPr>
              <w:t>Non-transparent</w:t>
            </w:r>
            <w:proofErr w:type="gramEnd"/>
            <w:r>
              <w:rPr>
                <w:sz w:val="24"/>
                <w:szCs w:val="24"/>
              </w:rPr>
              <w:t xml:space="preserve"> schemes</w:t>
            </w:r>
          </w:p>
          <w:p w14:paraId="7E8C6188" w14:textId="77777777" w:rsidR="000C6D08" w:rsidRDefault="000C6D08" w:rsidP="000C6D08">
            <w:pPr>
              <w:pStyle w:val="ListParagraph"/>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 xml:space="preserve">Option 1: Non-transparent schemes should be considered, and transparent schemes can be used as baseline to evaluate the gain of </w:t>
            </w:r>
            <w:proofErr w:type="gramStart"/>
            <w:r>
              <w:rPr>
                <w:color w:val="FF0000"/>
                <w:szCs w:val="24"/>
                <w:lang w:eastAsia="zh-CN"/>
              </w:rPr>
              <w:t>Non-transparent</w:t>
            </w:r>
            <w:proofErr w:type="gramEnd"/>
            <w:r>
              <w:rPr>
                <w:color w:val="FF0000"/>
                <w:szCs w:val="24"/>
                <w:lang w:eastAsia="zh-CN"/>
              </w:rPr>
              <w:t xml:space="preserve"> schemes</w:t>
            </w:r>
          </w:p>
          <w:p w14:paraId="48FE3E50" w14:textId="77777777" w:rsidR="000C6D08" w:rsidRDefault="000C6D08" w:rsidP="000C6D08">
            <w:pPr>
              <w:pStyle w:val="ListParagraph"/>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ListParagraph"/>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w:t>
            </w:r>
            <w:proofErr w:type="gramStart"/>
            <w:r>
              <w:rPr>
                <w:rFonts w:eastAsia="Yu Mincho"/>
                <w:i/>
                <w:color w:val="FF0000"/>
                <w:lang w:val="en-US" w:eastAsia="zh-CN"/>
              </w:rPr>
              <w:t>actually Option</w:t>
            </w:r>
            <w:proofErr w:type="gramEnd"/>
            <w:r>
              <w:rPr>
                <w:rFonts w:eastAsia="Yu Mincho"/>
                <w:i/>
                <w:color w:val="FF0000"/>
                <w:lang w:val="en-US" w:eastAsia="zh-CN"/>
              </w:rPr>
              <w:t xml:space="preserve">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 xml:space="preserve">Non-transparent schemes should be considered, and transparent schemes can be used as baseline to evaluate the gain of </w:t>
            </w:r>
            <w:proofErr w:type="gramStart"/>
            <w:r>
              <w:rPr>
                <w:rFonts w:eastAsia="Yu Mincho"/>
                <w:i/>
                <w:color w:val="FF0000"/>
                <w:lang w:val="en-US" w:eastAsia="zh-CN"/>
              </w:rPr>
              <w:t>Non-transparent</w:t>
            </w:r>
            <w:proofErr w:type="gramEnd"/>
            <w:r>
              <w:rPr>
                <w:rFonts w:eastAsia="Yu Mincho"/>
                <w:i/>
                <w:color w:val="FF0000"/>
                <w:lang w:val="en-US" w:eastAsia="zh-CN"/>
              </w:rPr>
              <w:t xml:space="preserve">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7"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 xml:space="preserve">Non-transparent schemes should be considered, and transparent schemes can be used as baseline to evaluate the gain of </w:t>
            </w:r>
            <w:proofErr w:type="gramStart"/>
            <w:r>
              <w:rPr>
                <w:rFonts w:eastAsia="Yu Mincho"/>
                <w:i/>
                <w:color w:val="0070C0"/>
                <w:highlight w:val="green"/>
                <w:lang w:val="en-US" w:eastAsia="zh-CN"/>
              </w:rPr>
              <w:t>Non-transparent</w:t>
            </w:r>
            <w:proofErr w:type="gramEnd"/>
            <w:r>
              <w:rPr>
                <w:rFonts w:eastAsia="Yu Mincho"/>
                <w:i/>
                <w:color w:val="0070C0"/>
                <w:highlight w:val="green"/>
                <w:lang w:val="en-US" w:eastAsia="zh-CN"/>
              </w:rPr>
              <w:t xml:space="preserve"> schemes</w:t>
            </w:r>
          </w:p>
          <w:p w14:paraId="777FB22A" w14:textId="77777777" w:rsidR="000C6D08" w:rsidRDefault="000C6D08" w:rsidP="000C6D08">
            <w:pPr>
              <w:numPr>
                <w:ilvl w:val="1"/>
                <w:numId w:val="83"/>
              </w:numPr>
              <w:rPr>
                <w:rFonts w:hint="eastAsia"/>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hint="eastAsia"/>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 xml:space="preserve">Since transparent/non-transparent discussion is mixed with work plan, moderator arranges the two WF in 1-1 and 1-2. Here the focus is definition of transparent and non-transparent and how they </w:t>
            </w:r>
            <w:proofErr w:type="gramStart"/>
            <w:r>
              <w:rPr>
                <w:color w:val="FF0000"/>
                <w:szCs w:val="24"/>
                <w:lang w:val="en-US" w:eastAsia="zh-CN"/>
              </w:rPr>
              <w:t>are</w:t>
            </w:r>
            <w:proofErr w:type="gramEnd"/>
            <w:r>
              <w:rPr>
                <w:color w:val="FF0000"/>
                <w:szCs w:val="24"/>
                <w:lang w:val="en-US" w:eastAsia="zh-CN"/>
              </w:rPr>
              <w:t xml:space="preserv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8" w:name="_Hlk116667843"/>
            <w:r>
              <w:rPr>
                <w:rFonts w:eastAsia="Yu Mincho"/>
                <w:i/>
                <w:color w:val="0070C0"/>
                <w:lang w:val="en-US" w:eastAsia="zh-CN"/>
              </w:rPr>
              <w:t xml:space="preserve">Non-transparent schemes should be considered, and transparent schemes can be used as baseline to evaluate the gain of </w:t>
            </w:r>
            <w:proofErr w:type="gramStart"/>
            <w:r>
              <w:rPr>
                <w:rFonts w:eastAsia="Yu Mincho"/>
                <w:i/>
                <w:color w:val="0070C0"/>
                <w:lang w:val="en-US" w:eastAsia="zh-CN"/>
              </w:rPr>
              <w:t>Non-transparent</w:t>
            </w:r>
            <w:proofErr w:type="gramEnd"/>
            <w:r>
              <w:rPr>
                <w:rFonts w:eastAsia="Yu Mincho"/>
                <w:i/>
                <w:color w:val="0070C0"/>
                <w:lang w:val="en-US" w:eastAsia="zh-CN"/>
              </w:rPr>
              <w:t xml:space="preserve">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 xml:space="preserve">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w:t>
            </w:r>
            <w:proofErr w:type="spellStart"/>
            <w:r>
              <w:rPr>
                <w:rFonts w:eastAsia="Yu Mincho"/>
                <w:i/>
                <w:color w:val="0070C0"/>
                <w:lang w:val="en-US" w:eastAsia="zh-CN"/>
              </w:rPr>
              <w:t>Ues</w:t>
            </w:r>
            <w:proofErr w:type="spellEnd"/>
            <w:r>
              <w:rPr>
                <w:rFonts w:eastAsia="Yu Mincho"/>
                <w:i/>
                <w:color w:val="0070C0"/>
                <w:lang w:val="en-US" w:eastAsia="zh-CN"/>
              </w:rPr>
              <w:t xml:space="preserve"> reduce MPR by spectrum shaping and UE is allowed to preferred shaping as far as corresponding requirements are met.</w:t>
            </w:r>
            <w:bookmarkEnd w:id="28"/>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proofErr w:type="gramStart"/>
                  <w:r>
                    <w:rPr>
                      <w:rFonts w:eastAsia="Yu Mincho" w:hint="eastAsia"/>
                      <w:color w:val="0070C0"/>
                      <w:lang w:val="en-US" w:eastAsia="zh-CN"/>
                    </w:rPr>
                    <w:t>Fine  with</w:t>
                  </w:r>
                  <w:proofErr w:type="gramEnd"/>
                  <w:r>
                    <w:rPr>
                      <w:rFonts w:eastAsia="Yu Mincho" w:hint="eastAsia"/>
                      <w:color w:val="0070C0"/>
                      <w:lang w:val="en-US" w:eastAsia="zh-CN"/>
                    </w:rPr>
                    <w:t xml:space="preserve">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DengXian" w:hint="eastAsia"/>
                      <w:color w:val="0070C0"/>
                      <w:lang w:val="en-US" w:eastAsia="zh-CN"/>
                    </w:rPr>
                  </w:pPr>
                  <w:r w:rsidRPr="006B5DA6">
                    <w:rPr>
                      <w:rFonts w:eastAsia="DengXian"/>
                      <w:color w:val="0070C0"/>
                      <w:lang w:val="en-US" w:eastAsia="zh-CN"/>
                    </w:rPr>
                    <w:t>Vivo</w:t>
                  </w:r>
                </w:p>
              </w:tc>
              <w:tc>
                <w:tcPr>
                  <w:tcW w:w="8395" w:type="dxa"/>
                </w:tcPr>
                <w:p w14:paraId="77115580" w14:textId="77777777" w:rsidR="000C6D08" w:rsidRPr="006B5DA6" w:rsidRDefault="000C6D08" w:rsidP="000C6D08">
                  <w:pPr>
                    <w:spacing w:after="120"/>
                    <w:rPr>
                      <w:rFonts w:eastAsia="DengXian" w:hint="eastAsia"/>
                      <w:color w:val="0070C0"/>
                      <w:lang w:val="en-US" w:eastAsia="zh-CN"/>
                    </w:rPr>
                  </w:pPr>
                  <w:r w:rsidRPr="006B5DA6">
                    <w:rPr>
                      <w:rFonts w:eastAsia="DengXian" w:hint="eastAsia"/>
                      <w:color w:val="0070C0"/>
                      <w:lang w:val="en-US" w:eastAsia="zh-CN"/>
                    </w:rPr>
                    <w:t>O</w:t>
                  </w:r>
                  <w:r w:rsidRPr="006B5DA6">
                    <w:rPr>
                      <w:rFonts w:eastAsia="DengXian"/>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DengXian" w:hint="eastAsia"/>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DengXian" w:hint="eastAsia"/>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proofErr w:type="spellStart"/>
                  <w:r>
                    <w:rPr>
                      <w:rStyle w:val="normaltextrun"/>
                      <w:color w:val="CC3595"/>
                    </w:rPr>
                    <w:t>pple</w:t>
                  </w:r>
                  <w:proofErr w:type="spellEnd"/>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7"/>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SimSun"/>
          <w:b/>
          <w:bCs/>
          <w:sz w:val="22"/>
          <w:szCs w:val="22"/>
          <w:highlight w:val="yellow"/>
          <w:lang w:eastAsia="zh-CN"/>
        </w:rPr>
        <w:t>FL’s proposal 3-v</w:t>
      </w:r>
      <w:r>
        <w:rPr>
          <w:rFonts w:eastAsia="SimSun"/>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59251D">
        <w:rPr>
          <w:rFonts w:eastAsia="SimSun"/>
          <w:strike/>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6AAAE1AE"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38A0D06A" w14:textId="77777777" w:rsidR="00C34F6B" w:rsidRPr="0092164B" w:rsidRDefault="00C34F6B" w:rsidP="00C34F6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w:t>
      </w:r>
      <w:proofErr w:type="gramStart"/>
      <w:r w:rsidRPr="00C34F6B">
        <w:rPr>
          <w:strike/>
          <w:color w:val="00B050"/>
          <w:sz w:val="22"/>
          <w:highlight w:val="yellow"/>
          <w:u w:val="single"/>
          <w:lang w:eastAsia="zh-CN"/>
        </w:rPr>
        <w:t>i.e.</w:t>
      </w:r>
      <w:proofErr w:type="gramEnd"/>
      <w:r w:rsidRPr="00C34F6B">
        <w:rPr>
          <w:strike/>
          <w:color w:val="00B050"/>
          <w:sz w:val="22"/>
          <w:highlight w:val="yellow"/>
          <w:u w:val="single"/>
          <w:lang w:eastAsia="zh-CN"/>
        </w:rPr>
        <w:t xml:space="preserv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ListParagraph"/>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w:t>
      </w:r>
      <w:r>
        <w:rPr>
          <w:b/>
          <w:bCs/>
          <w:iCs/>
          <w:sz w:val="28"/>
          <w:szCs w:val="28"/>
          <w:highlight w:val="yellow"/>
        </w:rPr>
        <w:t>5</w:t>
      </w:r>
    </w:p>
    <w:tbl>
      <w:tblPr>
        <w:tblStyle w:val="TableGrid8"/>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518EC72A" w:rsidR="00C34F6B" w:rsidRDefault="00C34F6B" w:rsidP="00404105">
            <w:pPr>
              <w:snapToGrid/>
              <w:spacing w:afterAutospacing="0" w:line="240" w:lineRule="auto"/>
              <w:jc w:val="both"/>
              <w:rPr>
                <w:lang w:eastAsia="ja-JP"/>
              </w:rPr>
            </w:pPr>
          </w:p>
        </w:tc>
        <w:tc>
          <w:tcPr>
            <w:tcW w:w="7804" w:type="dxa"/>
          </w:tcPr>
          <w:p w14:paraId="1B8C60FC" w14:textId="2342B7B8" w:rsidR="00C34F6B" w:rsidRDefault="00C34F6B" w:rsidP="00404105">
            <w:pPr>
              <w:snapToGrid/>
              <w:spacing w:afterAutospacing="0" w:line="240" w:lineRule="auto"/>
              <w:jc w:val="both"/>
              <w:rPr>
                <w:lang w:eastAsia="ja-JP"/>
              </w:rPr>
            </w:pPr>
          </w:p>
        </w:tc>
      </w:tr>
      <w:tr w:rsidR="00C34F6B" w14:paraId="14D7ED94" w14:textId="77777777" w:rsidTr="00404105">
        <w:trPr>
          <w:trHeight w:val="313"/>
        </w:trPr>
        <w:tc>
          <w:tcPr>
            <w:tcW w:w="1835" w:type="dxa"/>
          </w:tcPr>
          <w:p w14:paraId="5E15F37F" w14:textId="77777777" w:rsidR="00C34F6B" w:rsidRDefault="00C34F6B" w:rsidP="00404105">
            <w:pPr>
              <w:tabs>
                <w:tab w:val="left" w:pos="1116"/>
              </w:tabs>
              <w:snapToGrid/>
              <w:spacing w:afterAutospacing="0" w:line="240" w:lineRule="auto"/>
              <w:jc w:val="both"/>
              <w:rPr>
                <w:lang w:eastAsia="ja-JP"/>
              </w:rPr>
            </w:pPr>
          </w:p>
        </w:tc>
        <w:tc>
          <w:tcPr>
            <w:tcW w:w="7804" w:type="dxa"/>
          </w:tcPr>
          <w:p w14:paraId="0B2B3D36" w14:textId="77777777" w:rsidR="00C34F6B" w:rsidRDefault="00C34F6B" w:rsidP="00404105">
            <w:pPr>
              <w:snapToGrid/>
              <w:spacing w:afterAutospacing="0" w:line="240" w:lineRule="auto"/>
              <w:jc w:val="both"/>
              <w:rPr>
                <w:lang w:eastAsia="ja-JP"/>
              </w:rPr>
            </w:pPr>
          </w:p>
        </w:tc>
      </w:tr>
      <w:tr w:rsidR="00C34F6B" w14:paraId="25F07E6E" w14:textId="77777777" w:rsidTr="00404105">
        <w:trPr>
          <w:trHeight w:val="300"/>
        </w:trPr>
        <w:tc>
          <w:tcPr>
            <w:tcW w:w="1835" w:type="dxa"/>
          </w:tcPr>
          <w:p w14:paraId="3AC1F9A5" w14:textId="77777777" w:rsidR="00C34F6B" w:rsidRDefault="00C34F6B" w:rsidP="00404105">
            <w:pPr>
              <w:snapToGrid/>
              <w:spacing w:afterAutospacing="0" w:line="240" w:lineRule="auto"/>
              <w:jc w:val="both"/>
              <w:rPr>
                <w:lang w:eastAsia="zh-CN"/>
              </w:rPr>
            </w:pPr>
          </w:p>
        </w:tc>
        <w:tc>
          <w:tcPr>
            <w:tcW w:w="7804" w:type="dxa"/>
          </w:tcPr>
          <w:p w14:paraId="3E92EF3B" w14:textId="77777777" w:rsidR="00C34F6B" w:rsidRPr="007A1272" w:rsidRDefault="00C34F6B" w:rsidP="00404105">
            <w:pPr>
              <w:rPr>
                <w:b/>
                <w:strike/>
                <w:color w:val="00B0F0"/>
                <w:sz w:val="22"/>
                <w:szCs w:val="22"/>
                <w:highlight w:val="yellow"/>
                <w:lang w:val="en-US"/>
              </w:rPr>
            </w:pPr>
          </w:p>
        </w:tc>
      </w:tr>
    </w:tbl>
    <w:p w14:paraId="162F0D31" w14:textId="77777777" w:rsidR="00C34F6B" w:rsidRDefault="00C34F6B" w:rsidP="00C34F6B">
      <w:pPr>
        <w:jc w:val="both"/>
        <w:rPr>
          <w:sz w:val="22"/>
          <w:szCs w:val="22"/>
        </w:rPr>
      </w:pPr>
    </w:p>
    <w:p w14:paraId="4DFB3914" w14:textId="77777777" w:rsidR="00C34F6B" w:rsidRDefault="00C34F6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lastRenderedPageBreak/>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lastRenderedPageBreak/>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t>
            </w:r>
            <w:r>
              <w:rPr>
                <w:lang w:eastAsia="zh-CN"/>
              </w:rPr>
              <w:lastRenderedPageBreak/>
              <w:t xml:space="preserve">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lastRenderedPageBreak/>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lastRenderedPageBreak/>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w:t>
            </w:r>
            <w:r>
              <w:rPr>
                <w:lang w:eastAsia="zh-CN"/>
              </w:rPr>
              <w:lastRenderedPageBreak/>
              <w:t>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lastRenderedPageBreak/>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lastRenderedPageBreak/>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w:t>
      </w:r>
      <w:r>
        <w:rPr>
          <w:sz w:val="22"/>
          <w:szCs w:val="22"/>
        </w:rPr>
        <w:lastRenderedPageBreak/>
        <w:t xml:space="preserve">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lastRenderedPageBreak/>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(Huawei/HiSi) on the wording of the 3</w:t>
      </w:r>
      <w:r w:rsidRPr="000A3C22">
        <w:rPr>
          <w:sz w:val="22"/>
          <w:szCs w:val="22"/>
          <w:vertAlign w:val="superscript"/>
          <w:lang w:val="en-US"/>
        </w:rPr>
        <w:t>rd</w:t>
      </w:r>
      <w:r w:rsidRPr="000A3C22">
        <w:rPr>
          <w:sz w:val="22"/>
          <w:szCs w:val="22"/>
          <w:lang w:val="en-US"/>
        </w:rPr>
        <w:t xml:space="preserve"> bullet of the FFS. Specifically, Huawei/HiSi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lastRenderedPageBreak/>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proofErr w:type="spellStart"/>
      <w:r>
        <w:rPr>
          <w:sz w:val="22"/>
          <w:szCs w:val="22"/>
          <w:lang w:eastAsia="zh-CN"/>
        </w:rPr>
        <w:lastRenderedPageBreak/>
        <w:t>Foir</w:t>
      </w:r>
      <w:proofErr w:type="spellEnd"/>
      <w:r>
        <w:rPr>
          <w:sz w:val="22"/>
          <w:szCs w:val="22"/>
          <w:lang w:eastAsia="zh-CN"/>
        </w:rPr>
        <w:t xml:space="preserve">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426807" w14:paraId="44C4EA38" w14:textId="77777777" w:rsidTr="007A0611">
        <w:trPr>
          <w:trHeight w:val="313"/>
        </w:trPr>
        <w:tc>
          <w:tcPr>
            <w:tcW w:w="1977" w:type="dxa"/>
          </w:tcPr>
          <w:p w14:paraId="1FC3CB9C" w14:textId="77777777" w:rsidR="00426807" w:rsidRDefault="00426807" w:rsidP="007A0611">
            <w:pPr>
              <w:jc w:val="center"/>
              <w:rPr>
                <w:lang w:eastAsia="zh-CN"/>
              </w:rPr>
            </w:pPr>
          </w:p>
        </w:tc>
        <w:tc>
          <w:tcPr>
            <w:tcW w:w="7662" w:type="dxa"/>
          </w:tcPr>
          <w:p w14:paraId="3566D34C" w14:textId="77777777" w:rsidR="00426807" w:rsidRDefault="00426807" w:rsidP="007A0611">
            <w:pPr>
              <w:jc w:val="both"/>
              <w:rPr>
                <w:lang w:eastAsia="zh-CN"/>
              </w:rPr>
            </w:pP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lastRenderedPageBreak/>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lastRenderedPageBreak/>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lastRenderedPageBreak/>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t>
      </w:r>
      <w:r>
        <w:rPr>
          <w:sz w:val="22"/>
          <w:szCs w:val="22"/>
        </w:rPr>
        <w:lastRenderedPageBreak/>
        <w:t>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9" w:name="_Toc503902285"/>
      <w:bookmarkStart w:id="30"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lastRenderedPageBreak/>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lastRenderedPageBreak/>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lastRenderedPageBreak/>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 xml:space="preserve">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w:t>
      </w:r>
      <w:r w:rsidR="00F80DE7">
        <w:rPr>
          <w:sz w:val="22"/>
          <w:szCs w:val="22"/>
        </w:rPr>
        <w:lastRenderedPageBreak/>
        <w:t>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lastRenderedPageBreak/>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lastRenderedPageBreak/>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lastRenderedPageBreak/>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lastRenderedPageBreak/>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xml:space="preserve">, defined as the SNR variation </w:t>
      </w:r>
      <w:proofErr w:type="spellStart"/>
      <w:r w:rsidRPr="00F76319">
        <w:rPr>
          <w:b/>
          <w:bCs/>
          <w:color w:val="FF0000"/>
          <w:sz w:val="22"/>
          <w:szCs w:val="22"/>
          <w:highlight w:val="yellow"/>
        </w:rPr>
        <w:t>w.r.t.</w:t>
      </w:r>
      <w:proofErr w:type="spellEnd"/>
      <w:r w:rsidRPr="00F76319">
        <w:rPr>
          <w:b/>
          <w:bCs/>
          <w:color w:val="FF0000"/>
          <w:sz w:val="22"/>
          <w:szCs w:val="22"/>
          <w:highlight w:val="yellow"/>
        </w:rPr>
        <w:t xml:space="preserve">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lastRenderedPageBreak/>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744BA0" w14:paraId="38048EC2" w14:textId="77777777" w:rsidTr="007A0611">
        <w:trPr>
          <w:trHeight w:val="313"/>
        </w:trPr>
        <w:tc>
          <w:tcPr>
            <w:tcW w:w="1977" w:type="dxa"/>
          </w:tcPr>
          <w:p w14:paraId="00FE8959" w14:textId="77777777" w:rsidR="00744BA0" w:rsidRDefault="00744BA0" w:rsidP="007A0611">
            <w:pPr>
              <w:jc w:val="both"/>
              <w:rPr>
                <w:lang w:eastAsia="ja-JP"/>
              </w:rPr>
            </w:pPr>
          </w:p>
        </w:tc>
        <w:tc>
          <w:tcPr>
            <w:tcW w:w="7662" w:type="dxa"/>
          </w:tcPr>
          <w:p w14:paraId="3FE7BB2D" w14:textId="77777777" w:rsidR="00744BA0" w:rsidRDefault="00744BA0" w:rsidP="007A0611">
            <w:pPr>
              <w:jc w:val="both"/>
              <w:rPr>
                <w:lang w:eastAsia="ja-JP"/>
              </w:rPr>
            </w:pP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744BA0" w14:paraId="3EBA9A25" w14:textId="77777777" w:rsidTr="007A0611">
        <w:trPr>
          <w:trHeight w:val="313"/>
        </w:trPr>
        <w:tc>
          <w:tcPr>
            <w:tcW w:w="1977" w:type="dxa"/>
          </w:tcPr>
          <w:p w14:paraId="195D3855" w14:textId="77777777" w:rsidR="00744BA0" w:rsidRDefault="00744BA0" w:rsidP="007A0611">
            <w:pPr>
              <w:jc w:val="both"/>
              <w:rPr>
                <w:lang w:eastAsia="ja-JP"/>
              </w:rPr>
            </w:pPr>
          </w:p>
        </w:tc>
        <w:tc>
          <w:tcPr>
            <w:tcW w:w="7662" w:type="dxa"/>
          </w:tcPr>
          <w:p w14:paraId="2846C9DB" w14:textId="77777777" w:rsidR="00744BA0" w:rsidRDefault="00744BA0" w:rsidP="007A0611">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744BA0" w14:paraId="70EC933D" w14:textId="77777777" w:rsidTr="007A0611">
        <w:trPr>
          <w:trHeight w:val="313"/>
        </w:trPr>
        <w:tc>
          <w:tcPr>
            <w:tcW w:w="1977" w:type="dxa"/>
          </w:tcPr>
          <w:p w14:paraId="4C0A17BF" w14:textId="77777777" w:rsidR="00744BA0" w:rsidRDefault="00744BA0" w:rsidP="007A0611">
            <w:pPr>
              <w:jc w:val="center"/>
              <w:rPr>
                <w:lang w:eastAsia="zh-CN"/>
              </w:rPr>
            </w:pPr>
          </w:p>
        </w:tc>
        <w:tc>
          <w:tcPr>
            <w:tcW w:w="7662" w:type="dxa"/>
          </w:tcPr>
          <w:p w14:paraId="3A3DD3A1" w14:textId="77777777" w:rsidR="00744BA0" w:rsidRDefault="00744BA0" w:rsidP="007A0611">
            <w:pPr>
              <w:jc w:val="both"/>
              <w:rPr>
                <w:lang w:eastAsia="zh-CN"/>
              </w:rPr>
            </w:pP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lastRenderedPageBreak/>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lastRenderedPageBreak/>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1"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lastRenderedPageBreak/>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1"/>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lastRenderedPageBreak/>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8B7DF4" w14:paraId="5F4DC951" w14:textId="77777777" w:rsidTr="007A0611">
        <w:trPr>
          <w:trHeight w:val="313"/>
        </w:trPr>
        <w:tc>
          <w:tcPr>
            <w:tcW w:w="1977" w:type="dxa"/>
          </w:tcPr>
          <w:p w14:paraId="167EC70E" w14:textId="77777777" w:rsidR="008B7DF4" w:rsidRDefault="008B7DF4" w:rsidP="008B7DF4">
            <w:pPr>
              <w:jc w:val="center"/>
              <w:rPr>
                <w:lang w:eastAsia="zh-CN"/>
              </w:rPr>
            </w:pPr>
          </w:p>
        </w:tc>
        <w:tc>
          <w:tcPr>
            <w:tcW w:w="7662" w:type="dxa"/>
          </w:tcPr>
          <w:p w14:paraId="18A72547" w14:textId="77777777" w:rsidR="008B7DF4" w:rsidRDefault="008B7DF4" w:rsidP="008B7DF4">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w:t>
      </w:r>
      <w:r>
        <w:rPr>
          <w:sz w:val="22"/>
          <w:szCs w:val="22"/>
          <w:lang w:eastAsia="zh-CN"/>
        </w:rPr>
        <w:lastRenderedPageBreak/>
        <w:t xml:space="preserve">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9"/>
    <w:bookmarkEnd w:id="30"/>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lastRenderedPageBreak/>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lastRenderedPageBreak/>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lastRenderedPageBreak/>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2"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lastRenderedPageBreak/>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2"/>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3" w:name="_Hlk115708520"/>
            <w:r>
              <w:rPr>
                <w:i/>
                <w:lang w:eastAsia="zh-CN"/>
              </w:rPr>
              <w:t xml:space="preserve">HPUE related power domain enhancement </w:t>
            </w:r>
            <w:bookmarkEnd w:id="33"/>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lastRenderedPageBreak/>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lastRenderedPageBreak/>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lastRenderedPageBreak/>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4"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4"/>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lastRenderedPageBreak/>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5" w:name="_Hlk115797007"/>
            <w:r>
              <w:rPr>
                <w:rFonts w:eastAsia="SimSun"/>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6"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6"/>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5"/>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992B" w14:textId="77777777" w:rsidR="007247EC" w:rsidRDefault="007247EC">
      <w:pPr>
        <w:spacing w:after="0"/>
      </w:pPr>
      <w:r>
        <w:separator/>
      </w:r>
    </w:p>
  </w:endnote>
  <w:endnote w:type="continuationSeparator" w:id="0">
    <w:p w14:paraId="2D39BE49" w14:textId="77777777" w:rsidR="007247EC" w:rsidRDefault="007247EC">
      <w:pPr>
        <w:spacing w:after="0"/>
      </w:pPr>
      <w:r>
        <w:continuationSeparator/>
      </w:r>
    </w:p>
  </w:endnote>
  <w:endnote w:type="continuationNotice" w:id="1">
    <w:p w14:paraId="5E96BF44" w14:textId="77777777" w:rsidR="007247EC" w:rsidRDefault="00724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0F16" w14:textId="77777777" w:rsidR="007247EC" w:rsidRDefault="007247EC">
      <w:pPr>
        <w:spacing w:after="0"/>
      </w:pPr>
      <w:r>
        <w:separator/>
      </w:r>
    </w:p>
  </w:footnote>
  <w:footnote w:type="continuationSeparator" w:id="0">
    <w:p w14:paraId="02EFC98B" w14:textId="77777777" w:rsidR="007247EC" w:rsidRDefault="007247EC">
      <w:pPr>
        <w:spacing w:after="0"/>
      </w:pPr>
      <w:r>
        <w:continuationSeparator/>
      </w:r>
    </w:p>
  </w:footnote>
  <w:footnote w:type="continuationNotice" w:id="1">
    <w:p w14:paraId="3F8981CF" w14:textId="77777777" w:rsidR="007247EC" w:rsidRDefault="007247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 w:type="character" w:styleId="UnresolvedMention">
    <w:name w:val="Unresolved Mention"/>
    <w:basedOn w:val="DefaultParagraphFont"/>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34B645DE-8E96-4BBE-A0E1-B10B72F42F4C}">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88</Pages>
  <Words>34343</Words>
  <Characters>180029</Characters>
  <Application>Microsoft Office Word</Application>
  <DocSecurity>0</DocSecurity>
  <Lines>1500</Lines>
  <Paragraphs>427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213945</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Marco Maso</cp:lastModifiedBy>
  <cp:revision>2</cp:revision>
  <cp:lastPrinted>1901-01-01T01:00:00Z</cp:lastPrinted>
  <dcterms:created xsi:type="dcterms:W3CDTF">2022-10-18T04:38:00Z</dcterms:created>
  <dcterms:modified xsi:type="dcterms:W3CDTF">2022-10-18T04:38:00Z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