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vivo, Sony, IDC, OPPO, HW/HiSi,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HW/HiSi,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vivo(Alt1 )HW/HiSi(Alt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xml:space="preserve">, Ericsson, HW/HiSi,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HW/HiSi</w:t>
            </w:r>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HW/HiSi,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vivo,QC),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(e.g. 30 ms), DG outperforms CG. For small PDB (e.g. 10-15 ms),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proponents of eCG are requested to respond the concern raised by the opponents, specially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 xml:space="preserve">Dynamic indication to the UE to adjust CG parameters (e.g.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3C6200" w:rsidRDefault="00CD401C"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Pr="003C6200">
        <w:rPr>
          <w:rFonts w:ascii="Times New Roman" w:hAnsi="Times New Roman" w:cs="Times New Roman"/>
          <w:b/>
          <w:bCs/>
          <w:szCs w:val="24"/>
        </w:rPr>
        <w:t>differentiation of</w:t>
      </w:r>
      <w:r w:rsidRPr="003C6200">
        <w:rPr>
          <w:rFonts w:ascii="Times New Roman" w:eastAsia="SimSun" w:hAnsi="Times New Roman" w:cs="Times New Roman"/>
          <w:b/>
          <w:bCs/>
          <w:szCs w:val="18"/>
          <w:lang w:val="en-US" w:eastAsia="zh-CN"/>
        </w:rPr>
        <w:t xml:space="preserve"> XR </w:t>
      </w:r>
      <w:r w:rsidRPr="003C6200">
        <w:rPr>
          <w:rFonts w:ascii="Times New Roman" w:hAnsi="Times New Roman" w:cs="Times New Roman"/>
          <w:b/>
          <w:bCs/>
          <w:szCs w:val="24"/>
        </w:rPr>
        <w:t>multiple flows based on CG enhancement is down-priorotized</w:t>
      </w:r>
      <w:r>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7CC19910"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HW/HiSi, Ericsson</w:t>
      </w:r>
    </w:p>
    <w:p w14:paraId="2A1A0488" w14:textId="77777777"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CD401C" w:rsidRDefault="00CD401C"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3C6200">
        <w:rPr>
          <w:rFonts w:ascii="Times New Roman" w:hAnsi="Times New Roman" w:cs="Times New Roman"/>
          <w:b/>
          <w:bCs/>
          <w:szCs w:val="24"/>
        </w:rPr>
        <w:t>is down-priorotized</w:t>
      </w:r>
      <w:r>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237CDEDF" w14:textId="09C03F95" w:rsidR="00CD401C" w:rsidRPr="00D158FC" w:rsidRDefault="00CD401C" w:rsidP="00875A36">
      <w:pPr>
        <w:pStyle w:val="ListParagraph"/>
        <w:numPr>
          <w:ilvl w:val="0"/>
          <w:numId w:val="108"/>
        </w:numPr>
        <w:rPr>
          <w:rFonts w:ascii="Times New Roman" w:hAnsi="Times New Roman" w:cs="Times New Roman"/>
          <w:b/>
          <w:bCs/>
          <w:color w:val="0070C0"/>
          <w:szCs w:val="24"/>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62BA67B9"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Support</w:t>
      </w:r>
      <w:r w:rsidR="00CD401C" w:rsidRPr="00D158FC">
        <w:rPr>
          <w:rFonts w:ascii="Times New Roman" w:eastAsia="SimSun" w:hAnsi="Times New Roman" w:cs="Times New Roman"/>
          <w:color w:val="0070C0"/>
          <w:szCs w:val="18"/>
          <w:lang w:val="en-US" w:eastAsia="zh-CN"/>
        </w:rPr>
        <w:t>: Intel, QC, OPPO, vivo, DCM, Nokia/NSB, HW/HiSi, Google, Ericsson</w:t>
      </w:r>
    </w:p>
    <w:p w14:paraId="53E4837B" w14:textId="327900F5"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Samsung, Nokia/NSB, MTK</w:t>
      </w:r>
    </w:p>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r w:rsidRPr="00287003">
        <w:rPr>
          <w:rFonts w:ascii="Times New Roman" w:hAnsi="Times New Roman" w:cs="Times New Roman"/>
          <w:iCs/>
          <w:sz w:val="22"/>
        </w:rPr>
        <w:t>tudy of multi-bits SR mechanisms for capacity improvement of XR traffic is down-priorotized in RAN1 XR SI.</w:t>
      </w:r>
    </w:p>
    <w:p w14:paraId="1163B8C7" w14:textId="2FEBC8BE"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p>
    <w:p w14:paraId="39B47512" w14:textId="6BD53811"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HW/HiSi</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down-priorotized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1</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-2</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r w:rsidRPr="009C408B">
        <w:rPr>
          <w:rFonts w:ascii="Times New Roman" w:eastAsiaTheme="minorEastAsia" w:hAnsi="Times New Roman" w:cs="Times New Roman"/>
          <w:b/>
          <w:bCs/>
          <w:i/>
          <w:iCs/>
          <w:lang w:val="en-US" w:eastAsia="zh-CN"/>
        </w:rPr>
        <w:t xml:space="preserve">playoutDelayForMediaStartup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-3</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9C408B">
        <w:rPr>
          <w:rStyle w:val="B1Zchn"/>
          <w:rFonts w:ascii="Times New Roman" w:hAnsi="Times New Roman" w:cs="Times New Roman"/>
          <w:b/>
          <w:bCs/>
        </w:rPr>
        <w:t>3</w:t>
      </w:r>
      <w:r w:rsidRPr="009C408B">
        <w:rPr>
          <w:rStyle w:val="B1Zchn"/>
          <w:rFonts w:ascii="Times New Roman" w:hAnsi="Times New Roman" w:cs="Times New Roman"/>
          <w:b/>
          <w:bCs/>
          <w:lang w:val="en-US"/>
        </w:rPr>
        <w:t>-</w:t>
      </w:r>
      <w:r w:rsidRPr="009C408B">
        <w:rPr>
          <w:rStyle w:val="B1Zchn"/>
          <w:rFonts w:ascii="Times New Roman" w:hAnsi="Times New Roman" w:cs="Times New Roman"/>
          <w:b/>
          <w:bCs/>
        </w:rPr>
        <w:t>5</w:t>
      </w:r>
      <w:r w:rsidRPr="009C408B">
        <w:rPr>
          <w:rStyle w:val="B1Zchn"/>
          <w:rFonts w:ascii="Times New Roman" w:hAnsi="Times New Roman" w:cs="Times New Roman"/>
          <w:b/>
          <w:bCs/>
          <w:lang w:val="en-US"/>
        </w:rPr>
        <w:t>-4</w:t>
      </w:r>
      <w:r w:rsidRPr="009C408B">
        <w:rPr>
          <w:rStyle w:val="B1Zchn"/>
          <w:rFonts w:ascii="Times New Roman" w:hAnsi="Times New Roman" w:cs="Times New Roman"/>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77777777" w:rsidR="00D158FC" w:rsidRPr="009C408B" w:rsidRDefault="00D158FC" w:rsidP="00D158FC">
      <w:pPr>
        <w:pStyle w:val="ListParagraph"/>
        <w:numPr>
          <w:ilvl w:val="0"/>
          <w:numId w:val="39"/>
        </w:numPr>
        <w:rPr>
          <w:rFonts w:ascii="Times New Roman" w:hAnsi="Times New Roman" w:cs="Times New Roman"/>
          <w:b/>
          <w:bCs/>
          <w:color w:val="0070C0"/>
        </w:rPr>
      </w:pPr>
      <w:r w:rsidRPr="009C408B">
        <w:rPr>
          <w:rFonts w:ascii="Times New Roman" w:eastAsia="SimSun" w:hAnsi="Times New Roman" w:cs="Times New Roman"/>
          <w:b/>
          <w:bCs/>
          <w:color w:val="0070C0"/>
          <w:lang w:val="en-US" w:eastAsia="zh-CN"/>
        </w:rPr>
        <w:lastRenderedPageBreak/>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EC4AE3">
        <w:rPr>
          <w:rStyle w:val="B1Zchn"/>
          <w:rFonts w:ascii="Times New Roman" w:hAnsi="Times New Roman" w:cs="Times New Roman"/>
          <w:b/>
          <w:bCs/>
        </w:rPr>
        <w:t>t</w:t>
      </w:r>
      <w:r w:rsidRPr="00EC4AE3">
        <w:rPr>
          <w:rStyle w:val="B1Zchn"/>
          <w:rFonts w:ascii="Times New Roman" w:hAnsi="Times New Roman" w:cs="Times New Roman"/>
          <w:b/>
          <w:bCs/>
          <w:lang w:val="en-US"/>
        </w:rPr>
        <w:t>u</w:t>
      </w:r>
      <w:r w:rsidRPr="00EC4AE3">
        <w:rPr>
          <w:rStyle w:val="B1Zchn"/>
          <w:rFonts w:ascii="Times New Roman" w:hAnsi="Times New Roman" w:cs="Times New Roman"/>
          <w:b/>
          <w:bCs/>
        </w:rPr>
        <w:t>d</w:t>
      </w:r>
      <w:r w:rsidRPr="00EC4AE3">
        <w:rPr>
          <w:rStyle w:val="B1Zchn"/>
          <w:rFonts w:ascii="Times New Roman" w:hAnsi="Times New Roman" w:cs="Times New Roman"/>
          <w:b/>
          <w:bCs/>
          <w:lang w:val="en-US"/>
        </w:rPr>
        <w:t>y</w:t>
      </w:r>
      <w:r w:rsidRPr="00EC4AE3">
        <w:rPr>
          <w:rStyle w:val="B1Zchn"/>
          <w:rFonts w:ascii="Times New Roman" w:hAnsi="Times New Roman" w:cs="Times New Roman"/>
          <w:b/>
          <w:bCs/>
        </w:rPr>
        <w:t xml:space="preserve"> </w:t>
      </w:r>
      <w:r w:rsidRPr="00EC4AE3">
        <w:rPr>
          <w:rStyle w:val="B1Zchn"/>
          <w:rFonts w:ascii="Times New Roman" w:hAnsi="Times New Roman" w:cs="Times New Roman"/>
          <w:b/>
          <w:bCs/>
          <w:lang w:val="en-US"/>
        </w:rPr>
        <w:t>the m</w:t>
      </w:r>
      <w:r w:rsidRPr="00EC4AE3">
        <w:rPr>
          <w:rStyle w:val="B1Zchn"/>
          <w:rFonts w:ascii="Times New Roman" w:hAnsi="Times New Roman" w:cs="Times New Roman"/>
          <w:b/>
          <w:bCs/>
        </w:rPr>
        <w:t>e</w:t>
      </w:r>
      <w:r w:rsidRPr="00EC4AE3">
        <w:rPr>
          <w:rStyle w:val="B1Zchn"/>
          <w:rFonts w:ascii="Times New Roman" w:hAnsi="Times New Roman" w:cs="Times New Roman"/>
          <w:b/>
          <w:bCs/>
          <w:lang w:val="en-US"/>
        </w:rPr>
        <w:t>c</w:t>
      </w:r>
      <w:r w:rsidRPr="00EC4AE3">
        <w:rPr>
          <w:rStyle w:val="B1Zchn"/>
          <w:rFonts w:ascii="Times New Roman" w:hAnsi="Times New Roman" w:cs="Times New Roman"/>
          <w:b/>
          <w:bCs/>
        </w:rPr>
        <w:t>h</w:t>
      </w:r>
      <w:r w:rsidRPr="00EC4AE3">
        <w:rPr>
          <w:rStyle w:val="B1Zchn"/>
          <w:rFonts w:ascii="Times New Roman" w:hAnsi="Times New Roman" w:cs="Times New Roman"/>
          <w:b/>
          <w:bCs/>
          <w:lang w:val="en-US"/>
        </w:rPr>
        <w:t>a</w:t>
      </w:r>
      <w:r w:rsidRPr="00EC4AE3">
        <w:rPr>
          <w:rStyle w:val="B1Zchn"/>
          <w:rFonts w:ascii="Times New Roman" w:hAnsi="Times New Roman" w:cs="Times New Roman"/>
          <w:b/>
          <w:bCs/>
        </w:rPr>
        <w:t>n</w:t>
      </w:r>
      <w:r w:rsidRPr="00EC4AE3">
        <w:rPr>
          <w:rStyle w:val="B1Zchn"/>
          <w:rFonts w:ascii="Times New Roman" w:hAnsi="Times New Roman" w:cs="Times New Roman"/>
          <w:b/>
          <w:bCs/>
          <w:lang w:val="en-US"/>
        </w:rPr>
        <w:t>i</w:t>
      </w:r>
      <w:r w:rsidRPr="00EC4AE3">
        <w:rPr>
          <w:rStyle w:val="B1Zchn"/>
          <w:rFonts w:ascii="Times New Roman" w:hAnsi="Times New Roman" w:cs="Times New Roman"/>
          <w:b/>
          <w:bC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EC4AE3">
        <w:rPr>
          <w:rFonts w:ascii="Times New Roman" w:hAnsi="Times New Roman" w:cs="Times New Roman"/>
          <w:b/>
          <w:bCs/>
        </w:rPr>
        <w:t>o</w:t>
      </w:r>
      <w:r w:rsidRPr="00EC4AE3">
        <w:rPr>
          <w:rFonts w:ascii="Times New Roman" w:hAnsi="Times New Roman" w:cs="Times New Roman"/>
          <w:b/>
          <w:bCs/>
          <w:lang w:val="en-US"/>
        </w:rPr>
        <w:t>r</w:t>
      </w:r>
      <w:r w:rsidRPr="00EC4AE3">
        <w:rPr>
          <w:rFonts w:ascii="Times New Roman" w:hAnsi="Times New Roman" w:cs="Times New Roman"/>
          <w:b/>
          <w:bCs/>
        </w:rPr>
        <w:t xml:space="preserve"> </w:t>
      </w:r>
      <w:r w:rsidRPr="00EC4AE3">
        <w:rPr>
          <w:rFonts w:ascii="Times New Roman" w:hAnsi="Times New Roman" w:cs="Times New Roman"/>
          <w:b/>
          <w:bCs/>
          <w:lang w:val="en-US"/>
        </w:rPr>
        <w:t>C</w:t>
      </w:r>
      <w:r w:rsidRPr="00EC4AE3">
        <w:rPr>
          <w:rFonts w:ascii="Times New Roman" w:hAnsi="Times New Roman" w:cs="Times New Roman"/>
          <w:b/>
          <w:bCs/>
        </w:rPr>
        <w:t>A</w:t>
      </w:r>
      <w:r w:rsidRPr="00EC4AE3">
        <w:rPr>
          <w:rFonts w:ascii="Times New Roman" w:hAnsi="Times New Roman" w:cs="Times New Roman"/>
          <w:b/>
          <w:bCs/>
          <w:lang w:val="en-US"/>
        </w:rPr>
        <w:t xml:space="preserve"> </w:t>
      </w:r>
      <w:r w:rsidRPr="00EC4AE3">
        <w:rPr>
          <w:rFonts w:ascii="Times New Roman" w:hAnsi="Times New Roman" w:cs="Times New Roman"/>
          <w:b/>
          <w:bCs/>
        </w:rPr>
        <w:t>o</w:t>
      </w:r>
      <w:r w:rsidRPr="00EC4AE3">
        <w:rPr>
          <w:rFonts w:ascii="Times New Roman" w:hAnsi="Times New Roman" w:cs="Times New Roman"/>
          <w:b/>
          <w:bCs/>
          <w:lang w:val="en-US"/>
        </w:rPr>
        <w:t>p</w:t>
      </w:r>
      <w:r w:rsidRPr="00EC4AE3">
        <w:rPr>
          <w:rFonts w:ascii="Times New Roman" w:hAnsi="Times New Roman" w:cs="Times New Roman"/>
          <w:b/>
          <w:bCs/>
        </w:rPr>
        <w:t>e</w:t>
      </w:r>
      <w:r w:rsidRPr="00EC4AE3">
        <w:rPr>
          <w:rFonts w:ascii="Times New Roman" w:hAnsi="Times New Roman" w:cs="Times New Roman"/>
          <w:b/>
          <w:bCs/>
          <w:lang w:val="en-US"/>
        </w:rPr>
        <w:t>r</w:t>
      </w:r>
      <w:r w:rsidRPr="00EC4AE3">
        <w:rPr>
          <w:rFonts w:ascii="Times New Roman" w:hAnsi="Times New Roman" w:cs="Times New Roman"/>
          <w:b/>
          <w:bCs/>
        </w:rPr>
        <w:t>a</w:t>
      </w:r>
      <w:r w:rsidRPr="00EC4AE3">
        <w:rPr>
          <w:rFonts w:ascii="Times New Roman" w:hAnsi="Times New Roman" w:cs="Times New Roman"/>
          <w:b/>
          <w:bCs/>
          <w:lang w:val="en-US"/>
        </w:rPr>
        <w:t>t</w:t>
      </w:r>
      <w:r w:rsidRPr="00EC4AE3">
        <w:rPr>
          <w:rFonts w:ascii="Times New Roman" w:hAnsi="Times New Roman" w:cs="Times New Roman"/>
          <w:b/>
          <w:bCs/>
        </w:rPr>
        <w:t>i</w:t>
      </w:r>
      <w:r w:rsidRPr="00EC4AE3">
        <w:rPr>
          <w:rFonts w:ascii="Times New Roman" w:hAnsi="Times New Roman" w:cs="Times New Roman"/>
          <w:b/>
          <w:bCs/>
          <w:lang w:val="en-US"/>
        </w:rPr>
        <w:t>o</w:t>
      </w:r>
      <w:r w:rsidRPr="00EC4AE3">
        <w:rPr>
          <w:rFonts w:ascii="Times New Roman" w:hAnsi="Times New Roman" w:cs="Times New Roman"/>
          <w:b/>
          <w:bCs/>
        </w:rPr>
        <w:t>n</w:t>
      </w:r>
      <w:r w:rsidRPr="00EC4AE3">
        <w:rPr>
          <w:rFonts w:ascii="Times New Roman" w:hAnsi="Times New Roman" w:cs="Times New Roman"/>
          <w:b/>
          <w:bCs/>
          <w:lang w:val="en-US"/>
        </w:rPr>
        <w:t xml:space="preserve"> </w:t>
      </w:r>
      <w:r w:rsidRPr="00EC4AE3">
        <w:rPr>
          <w:rFonts w:ascii="Times New Roman" w:hAnsi="Times New Roman" w:cs="Times New Roman"/>
          <w:b/>
          <w:bCs/>
        </w:rPr>
        <w:t>o</w:t>
      </w:r>
      <w:r w:rsidRPr="00EC4AE3">
        <w:rPr>
          <w:rFonts w:ascii="Times New Roman" w:hAnsi="Times New Roman" w:cs="Times New Roman"/>
          <w:b/>
          <w:bCs/>
          <w:lang w:val="en-US"/>
        </w:rPr>
        <w:t>n</w:t>
      </w:r>
      <w:r w:rsidRPr="00EC4AE3">
        <w:rPr>
          <w:rFonts w:ascii="Times New Roman" w:hAnsi="Times New Roman" w:cs="Times New Roman"/>
          <w:b/>
          <w:bCs/>
        </w:rPr>
        <w:t xml:space="preserve"> </w:t>
      </w:r>
      <w:r w:rsidRPr="00EC4AE3">
        <w:rPr>
          <w:rFonts w:ascii="Times New Roman" w:hAnsi="Times New Roman" w:cs="Times New Roman"/>
          <w:b/>
          <w:bCs/>
          <w:lang w:val="en-US"/>
        </w:rPr>
        <w:t>T</w:t>
      </w:r>
      <w:r w:rsidRPr="00EC4AE3">
        <w:rPr>
          <w:rFonts w:ascii="Times New Roman" w:hAnsi="Times New Roman" w:cs="Times New Roman"/>
          <w:b/>
          <w:bCs/>
        </w:rPr>
        <w:t>D</w:t>
      </w:r>
      <w:r w:rsidRPr="00EC4AE3">
        <w:rPr>
          <w:rFonts w:ascii="Times New Roman" w:hAnsi="Times New Roman" w:cs="Times New Roman"/>
          <w:b/>
          <w:bCs/>
          <w:lang w:val="en-US"/>
        </w:rPr>
        <w:t>D</w:t>
      </w:r>
      <w:r w:rsidRPr="00EC4AE3">
        <w:rPr>
          <w:rFonts w:ascii="Times New Roman" w:hAnsi="Times New Roman" w:cs="Times New Roman"/>
          <w:b/>
          <w:bCs/>
        </w:rPr>
        <w:t xml:space="preserve"> </w:t>
      </w:r>
      <w:r w:rsidRPr="00EC4AE3">
        <w:rPr>
          <w:rFonts w:ascii="Times New Roman" w:hAnsi="Times New Roman" w:cs="Times New Roman"/>
          <w:b/>
          <w:bCs/>
          <w:lang w:val="en-US"/>
        </w:rPr>
        <w:t>c</w:t>
      </w:r>
      <w:r w:rsidRPr="00EC4AE3">
        <w:rPr>
          <w:rFonts w:ascii="Times New Roman" w:hAnsi="Times New Roman" w:cs="Times New Roman"/>
          <w:b/>
          <w:bCs/>
        </w:rPr>
        <w:t>e</w:t>
      </w:r>
      <w:r w:rsidRPr="00EC4AE3">
        <w:rPr>
          <w:rFonts w:ascii="Times New Roman" w:hAnsi="Times New Roman" w:cs="Times New Roman"/>
          <w:b/>
          <w:bCs/>
          <w:lang w:val="en-US"/>
        </w:rPr>
        <w:t>l</w:t>
      </w:r>
      <w:r w:rsidRPr="00EC4AE3">
        <w:rPr>
          <w:rFonts w:ascii="Times New Roman" w:hAnsi="Times New Roman" w:cs="Times New Roman"/>
          <w:b/>
          <w:bC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c</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d</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r</w:t>
      </w:r>
      <w:r w:rsidRPr="00EC4AE3">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eastAsia="zh-CN"/>
        </w:rPr>
        <w:t>a</w:t>
      </w:r>
      <w:r w:rsidRPr="00EC4AE3">
        <w:rPr>
          <w:rFonts w:ascii="Times New Roman" w:eastAsiaTheme="minorEastAsia" w:hAnsi="Times New Roman" w:cs="Times New Roman"/>
          <w:b/>
          <w:bCs/>
          <w:lang w:val="en-US" w:eastAsia="zh-CN"/>
        </w:rPr>
        <w:t>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eastAsia="zh-CN"/>
        </w:rPr>
        <w:t>e</w:t>
      </w:r>
      <w:r w:rsidRPr="00EC4AE3">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t</w:t>
      </w:r>
      <w:r w:rsidRPr="00EC4AE3">
        <w:rPr>
          <w:rFonts w:ascii="Times New Roman" w:eastAsiaTheme="minorEastAsia" w:hAnsi="Times New Roman" w:cs="Times New Roman"/>
          <w:b/>
          <w:bCs/>
          <w:lang w:eastAsia="zh-CN"/>
        </w:rPr>
        <w:t>h</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f</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eastAsia="zh-CN"/>
        </w:rPr>
        <w:t>l</w:t>
      </w:r>
      <w:r w:rsidRPr="00EC4AE3">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eastAsia="zh-CN"/>
        </w:rPr>
        <w:t>w</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77777777"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p>
    <w:p w14:paraId="7EDA3DC1"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7B162C">
        <w:rPr>
          <w:rFonts w:ascii="Times New Roman" w:hAnsi="Times New Roman" w:cs="Times New Roman"/>
          <w:color w:val="0070C0"/>
        </w:rPr>
        <w:t>I</w:t>
      </w:r>
      <w:r w:rsidRPr="007B162C">
        <w:rPr>
          <w:rFonts w:ascii="Times New Roman" w:hAnsi="Times New Roman" w:cs="Times New Roman"/>
          <w:color w:val="0070C0"/>
          <w:lang w:val="en-US"/>
        </w:rPr>
        <w:t>n</w:t>
      </w:r>
      <w:r w:rsidRPr="007B162C">
        <w:rPr>
          <w:rFonts w:ascii="Times New Roman" w:hAnsi="Times New Roman" w:cs="Times New Roman"/>
          <w:color w:val="0070C0"/>
        </w:rPr>
        <w:t>t</w:t>
      </w:r>
      <w:r w:rsidRPr="007B162C">
        <w:rPr>
          <w:rFonts w:ascii="Times New Roman" w:hAnsi="Times New Roman" w:cs="Times New Roman"/>
          <w:color w:val="0070C0"/>
          <w:lang w:val="en-US"/>
        </w:rPr>
        <w:t>e</w:t>
      </w:r>
      <w:r w:rsidRPr="007B162C">
        <w:rPr>
          <w:rFonts w:ascii="Times New Roman" w:hAnsi="Times New Roman" w:cs="Times New Roman"/>
          <w:color w:val="0070C0"/>
        </w:rPr>
        <w:t>l</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E</w:t>
      </w:r>
      <w:r w:rsidRPr="007B162C">
        <w:rPr>
          <w:rFonts w:ascii="Times New Roman" w:hAnsi="Times New Roman" w:cs="Times New Roman"/>
          <w:color w:val="0070C0"/>
        </w:rPr>
        <w:t>r</w:t>
      </w:r>
      <w:r w:rsidRPr="007B162C">
        <w:rPr>
          <w:rFonts w:ascii="Times New Roman" w:hAnsi="Times New Roman" w:cs="Times New Roman"/>
          <w:color w:val="0070C0"/>
          <w:lang w:val="en-US"/>
        </w:rPr>
        <w:t>i</w:t>
      </w:r>
      <w:r w:rsidRPr="007B162C">
        <w:rPr>
          <w:rFonts w:ascii="Times New Roman" w:hAnsi="Times New Roman" w:cs="Times New Roman"/>
          <w:color w:val="0070C0"/>
        </w:rPr>
        <w:t>c</w:t>
      </w:r>
      <w:r w:rsidRPr="007B162C">
        <w:rPr>
          <w:rFonts w:ascii="Times New Roman" w:hAnsi="Times New Roman" w:cs="Times New Roman"/>
          <w:color w:val="0070C0"/>
          <w:lang w:val="en-US"/>
        </w:rPr>
        <w:t>s</w:t>
      </w:r>
      <w:r w:rsidRPr="007B162C">
        <w:rPr>
          <w:rFonts w:ascii="Times New Roman" w:hAnsi="Times New Roman" w:cs="Times New Roman"/>
          <w:color w:val="0070C0"/>
        </w:rPr>
        <w:t>s</w:t>
      </w:r>
      <w:r w:rsidRPr="007B162C">
        <w:rPr>
          <w:rFonts w:ascii="Times New Roman" w:hAnsi="Times New Roman" w:cs="Times New Roman"/>
          <w:color w:val="0070C0"/>
          <w:lang w:val="en-US"/>
        </w:rPr>
        <w:t>o</w:t>
      </w:r>
      <w:r w:rsidRPr="007B162C">
        <w:rPr>
          <w:rFonts w:ascii="Times New Roman" w:hAnsi="Times New Roman" w:cs="Times New Roman"/>
          <w:color w:val="0070C0"/>
        </w:rPr>
        <w:t>n</w:t>
      </w:r>
    </w:p>
    <w:p w14:paraId="15801AB7" w14:textId="77777777"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7B162C">
        <w:rPr>
          <w:rFonts w:ascii="Times New Roman" w:hAnsi="Times New Roman" w:cs="Times New Roman"/>
          <w:color w:val="0070C0"/>
        </w:rPr>
        <w:t>W</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N</w:t>
      </w:r>
      <w:r w:rsidRPr="007B162C">
        <w:rPr>
          <w:rFonts w:ascii="Times New Roman" w:hAnsi="Times New Roman" w:cs="Times New Roman"/>
          <w:color w:val="0070C0"/>
          <w:lang w:val="en-US"/>
        </w:rPr>
        <w:t>o</w:t>
      </w:r>
      <w:r w:rsidRPr="007B162C">
        <w:rPr>
          <w:rFonts w:ascii="Times New Roman" w:hAnsi="Times New Roman" w:cs="Times New Roman"/>
          <w:color w:val="0070C0"/>
        </w:rPr>
        <w:t>k</w:t>
      </w:r>
      <w:r w:rsidRPr="007B162C">
        <w:rPr>
          <w:rFonts w:ascii="Times New Roman" w:hAnsi="Times New Roman" w:cs="Times New Roman"/>
          <w:color w:val="0070C0"/>
          <w:lang w:val="en-US"/>
        </w:rPr>
        <w:t>i</w:t>
      </w:r>
      <w:r w:rsidRPr="007B162C">
        <w:rPr>
          <w:rFonts w:ascii="Times New Roman" w:hAnsi="Times New Roman" w:cs="Times New Roman"/>
          <w:color w:val="0070C0"/>
        </w:rPr>
        <w:t>a</w:t>
      </w:r>
      <w:r w:rsidRPr="007B162C">
        <w:rPr>
          <w:rFonts w:ascii="Times New Roman" w:hAnsi="Times New Roman" w:cs="Times New Roman"/>
          <w:color w:val="0070C0"/>
          <w:lang w:val="en-US"/>
        </w:rPr>
        <w:t>/</w:t>
      </w:r>
      <w:r w:rsidRPr="007B162C">
        <w:rPr>
          <w:rFonts w:ascii="Times New Roman" w:hAnsi="Times New Roman" w:cs="Times New Roman"/>
          <w:color w:val="0070C0"/>
        </w:rPr>
        <w:t>N</w:t>
      </w:r>
      <w:r w:rsidRPr="007B162C">
        <w:rPr>
          <w:rFonts w:ascii="Times New Roman" w:hAnsi="Times New Roman" w:cs="Times New Roman"/>
          <w:color w:val="0070C0"/>
          <w:lang w:val="en-US"/>
        </w:rPr>
        <w:t>S</w:t>
      </w:r>
      <w:r w:rsidRPr="007B162C">
        <w:rPr>
          <w:rFonts w:ascii="Times New Roman" w:hAnsi="Times New Roman" w:cs="Times New Roman"/>
          <w:color w:val="0070C0"/>
        </w:rPr>
        <w:t>B</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Q</w:t>
      </w:r>
      <w:r w:rsidRPr="007B162C">
        <w:rPr>
          <w:rFonts w:ascii="Times New Roman" w:hAnsi="Times New Roman" w:cs="Times New Roman"/>
          <w:color w:val="0070C0"/>
        </w:rPr>
        <w:t>C</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M</w:t>
      </w:r>
      <w:r w:rsidRPr="007B162C">
        <w:rPr>
          <w:rFonts w:ascii="Times New Roman" w:hAnsi="Times New Roman" w:cs="Times New Roman"/>
          <w:color w:val="0070C0"/>
        </w:rPr>
        <w:t>T</w:t>
      </w:r>
      <w:r w:rsidRPr="007B162C">
        <w:rPr>
          <w:rFonts w:ascii="Times New Roman" w:hAnsi="Times New Roman" w:cs="Times New Roman"/>
          <w:color w:val="0070C0"/>
          <w:lang w:val="en-US"/>
        </w:rPr>
        <w:t>K,</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v</w:t>
      </w:r>
      <w:r w:rsidRPr="007B162C">
        <w:rPr>
          <w:rFonts w:ascii="Times New Roman" w:hAnsi="Times New Roman" w:cs="Times New Roman"/>
          <w:color w:val="0070C0"/>
        </w:rPr>
        <w:t>i</w:t>
      </w:r>
      <w:r w:rsidRPr="007B162C">
        <w:rPr>
          <w:rFonts w:ascii="Times New Roman" w:hAnsi="Times New Roman" w:cs="Times New Roman"/>
          <w:color w:val="0070C0"/>
          <w:lang w:val="en-US"/>
        </w:rPr>
        <w:t>v</w:t>
      </w:r>
      <w:r w:rsidRPr="007B162C">
        <w:rPr>
          <w:rFonts w:ascii="Times New Roman" w:hAnsi="Times New Roman" w:cs="Times New Roman"/>
          <w:color w:val="0070C0"/>
        </w:rPr>
        <w:t>o</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G</w:t>
      </w:r>
      <w:r w:rsidRPr="007B162C">
        <w:rPr>
          <w:rFonts w:ascii="Times New Roman" w:hAnsi="Times New Roman" w:cs="Times New Roman"/>
          <w:color w:val="0070C0"/>
        </w:rPr>
        <w:t>o</w:t>
      </w:r>
      <w:r w:rsidRPr="007B162C">
        <w:rPr>
          <w:rFonts w:ascii="Times New Roman" w:hAnsi="Times New Roman" w:cs="Times New Roman"/>
          <w:color w:val="0070C0"/>
          <w:lang w:val="en-US"/>
        </w:rPr>
        <w:t>o</w:t>
      </w:r>
      <w:r w:rsidRPr="007B162C">
        <w:rPr>
          <w:rFonts w:ascii="Times New Roman" w:hAnsi="Times New Roman" w:cs="Times New Roman"/>
          <w:color w:val="0070C0"/>
        </w:rPr>
        <w:t>g</w:t>
      </w:r>
      <w:r w:rsidRPr="007B162C">
        <w:rPr>
          <w:rFonts w:ascii="Times New Roman" w:hAnsi="Times New Roman" w:cs="Times New Roman"/>
          <w:color w:val="0070C0"/>
          <w:lang w:val="en-US"/>
        </w:rPr>
        <w:t>l</w:t>
      </w:r>
      <w:r w:rsidRPr="007B162C">
        <w:rPr>
          <w:rFonts w:ascii="Times New Roman" w:hAnsi="Times New Roman" w:cs="Times New Roman"/>
          <w:color w:val="0070C0"/>
        </w:rPr>
        <w:t>e</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L</w:t>
      </w:r>
      <w:r w:rsidRPr="007B162C">
        <w:rPr>
          <w:rFonts w:ascii="Times New Roman" w:hAnsi="Times New Roman" w:cs="Times New Roman"/>
          <w:color w:val="0070C0"/>
        </w:rPr>
        <w:t>G</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down-priortized.</w:t>
      </w:r>
    </w:p>
    <w:p w14:paraId="0B367F46" w14:textId="77777777"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 are captured in XR SI TR.</w:t>
      </w:r>
    </w:p>
    <w:p w14:paraId="082CBD01" w14:textId="40EBD9E4"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val="en-US" w:eastAsia="zh-CN"/>
        </w:rPr>
        <w:t>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EB7EA3" w:rsidRDefault="007B162C"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down-priortized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EA1EDE" w:rsidRDefault="00EA1EDE" w:rsidP="00875A36">
      <w:pPr>
        <w:pStyle w:val="ListParagraph"/>
        <w:numPr>
          <w:ilvl w:val="0"/>
          <w:numId w:val="111"/>
        </w:numPr>
        <w:rPr>
          <w:rFonts w:ascii="Times New Roman" w:hAnsi="Times New Roman" w:cs="Times New Roman"/>
          <w:b/>
          <w:bCs/>
          <w:color w:val="0070C0"/>
          <w:szCs w:val="24"/>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F95B0E" w:rsidRDefault="00EA1EDE"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Study on enhanced CQI based on CBG transmission, and study on enhanced CQI based on DMRS for improving XR capacity are down-priortized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nhancements on RRM to relax scheduling restcition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77777777"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HW/HiSi, Ericsson</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lastRenderedPageBreak/>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2C6B29">
        <w:tc>
          <w:tcPr>
            <w:tcW w:w="1867" w:type="dxa"/>
            <w:shd w:val="clear" w:color="auto" w:fill="BFBFBF" w:themeFill="background1" w:themeFillShade="BF"/>
          </w:tcPr>
          <w:p w14:paraId="7A5B5A0F" w14:textId="77777777" w:rsidR="00930803" w:rsidRDefault="00930803" w:rsidP="002C6B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2C6B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2C6B29">
        <w:tc>
          <w:tcPr>
            <w:tcW w:w="1867" w:type="dxa"/>
          </w:tcPr>
          <w:p w14:paraId="65D7EE79" w14:textId="0ED78BC9" w:rsidR="00930803" w:rsidRDefault="00930803" w:rsidP="002C6B29">
            <w:pPr>
              <w:rPr>
                <w:rFonts w:ascii="Times New Roman" w:hAnsi="Times New Roman" w:cs="Times New Roman"/>
                <w:b/>
                <w:bCs/>
                <w:szCs w:val="18"/>
                <w:lang w:val="en-US" w:eastAsia="ja-JP"/>
              </w:rPr>
            </w:pPr>
          </w:p>
        </w:tc>
        <w:tc>
          <w:tcPr>
            <w:tcW w:w="7762" w:type="dxa"/>
          </w:tcPr>
          <w:p w14:paraId="27E48488" w14:textId="67F07579" w:rsidR="00930803" w:rsidRDefault="00930803" w:rsidP="002C6B29">
            <w:pPr>
              <w:rPr>
                <w:rFonts w:ascii="Times New Roman" w:eastAsiaTheme="minorEastAsia" w:hAnsi="Times New Roman" w:cs="Times New Roman"/>
                <w:bCs/>
                <w:szCs w:val="18"/>
                <w:lang w:val="en-US" w:eastAsia="zh-CN"/>
              </w:rPr>
            </w:pPr>
          </w:p>
        </w:tc>
      </w:tr>
      <w:tr w:rsidR="00930803" w14:paraId="54309C7E" w14:textId="77777777" w:rsidTr="002C6B29">
        <w:tc>
          <w:tcPr>
            <w:tcW w:w="1867" w:type="dxa"/>
          </w:tcPr>
          <w:p w14:paraId="642CEAB6" w14:textId="535EDF2D" w:rsidR="00930803" w:rsidRDefault="00930803" w:rsidP="002C6B29">
            <w:pPr>
              <w:rPr>
                <w:rFonts w:ascii="Times New Roman" w:hAnsi="Times New Roman" w:cs="Times New Roman"/>
                <w:b/>
                <w:bCs/>
                <w:szCs w:val="18"/>
                <w:lang w:val="en-US" w:eastAsia="ja-JP"/>
              </w:rPr>
            </w:pPr>
          </w:p>
        </w:tc>
        <w:tc>
          <w:tcPr>
            <w:tcW w:w="7762" w:type="dxa"/>
          </w:tcPr>
          <w:p w14:paraId="2A352747" w14:textId="7E1A55EA" w:rsidR="00930803" w:rsidRDefault="00930803" w:rsidP="002C6B29">
            <w:pPr>
              <w:rPr>
                <w:rFonts w:ascii="Times New Roman" w:eastAsia="SimSun"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Almost all proposals can be analytically considered and that is preferable as it offers clarity. Regarding CATT’s proposal, if XR traffic arrives when the UE is not in Active Time, it is rather clear that the proposal can be beneficial. The question in our </w:t>
            </w:r>
            <w:r>
              <w:rPr>
                <w:rFonts w:ascii="Times New Roman" w:hAnsi="Times New Roman" w:cs="Times New Roman"/>
                <w:szCs w:val="18"/>
                <w:lang w:val="en-US" w:eastAsia="ja-JP"/>
              </w:rPr>
              <w:lastRenderedPageBreak/>
              <w:t>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Malgun Gothic"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when CG resources are adopted to serve UL traffic. In summary, hybrid CG-DG, as well as DG, can be regarded as the baseline(s) to assess CG related enhancments,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Hybird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SimSun"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Hybrid CG-DG may impact power saving (e.g., if DRX is configured) due to having CG resources in [many] slots. If gNB knows some traffic statistics or range of some XR paarmeters,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We had observed HW also simulated pre-scheduling, assuming “ideal BSR”. In their contribution, it was then concluded that pre-</w:t>
            </w:r>
            <w:r>
              <w:rPr>
                <w:rFonts w:ascii="Times New Roman" w:eastAsia="SimSun"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evalution results provided in this meetings.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UL, there’s no issue for DCI overhead, whereas the issue of SR delay is the common understanding. For example, SR delay can be 2.5 ms for 30 kHz SCS, and yes, UL-DL configs may leads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the other hand, we see DG can provide good scheduling flexibility, while CG needs to be enhanced from this perspective. Thus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we agreed in the GTW session, there’re two aspects of techniques to be studied in priority. And Rel-17 CG doesn’t include those two techniques, I wanna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companies also mentioned, Rel-17CG + DG, it looks workable and can be a reference performance. It is too early to conclude the performance comparision.</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the reserved CG resource, it would not be a problem, it can be overpreserved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more results needed to be provided, eCG should be compared with both DG basedline, and more reference performance as mentioned above.</w:t>
            </w:r>
          </w:p>
        </w:tc>
      </w:tr>
      <w:tr w:rsidR="00C543F3" w14:paraId="37560920" w14:textId="77777777" w:rsidTr="00C543F3">
        <w:tc>
          <w:tcPr>
            <w:tcW w:w="1867" w:type="dxa"/>
          </w:tcPr>
          <w:p w14:paraId="4CB0AD76" w14:textId="77777777" w:rsidR="00C543F3" w:rsidRDefault="00C543F3"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necceesary. Please see more comments explaining our view in section 2.2.3 with focus on the proposed enhancement. </w:t>
            </w:r>
          </w:p>
        </w:tc>
      </w:tr>
      <w:tr w:rsidR="00B3541D" w14:paraId="1C488049" w14:textId="77777777" w:rsidTr="00B3541D">
        <w:tc>
          <w:tcPr>
            <w:tcW w:w="1867" w:type="dxa"/>
            <w:shd w:val="clear" w:color="auto" w:fill="FFC000" w:themeFill="accent4"/>
          </w:tcPr>
          <w:p w14:paraId="095CA8BB" w14:textId="058C0AE6" w:rsidR="00B3541D" w:rsidRDefault="00B3541D"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The proponets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Propoents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872535">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We think Proposal 2-2-3 is useful and can be used for adjusting the non-integer periodicity. Better not to depriotorize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lastRenderedPageBreak/>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overidding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HW/HiSi,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lastRenderedPageBreak/>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w:t>
            </w:r>
            <w:r>
              <w:rPr>
                <w:rFonts w:ascii="Times New Roman" w:eastAsiaTheme="minorEastAsia" w:hAnsi="Times New Roman" w:cs="Times New Roman"/>
                <w:bCs/>
                <w:szCs w:val="18"/>
                <w:lang w:val="en-US" w:eastAsia="zh-CN"/>
              </w:rPr>
              <w:lastRenderedPageBreak/>
              <w:t>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tdoc,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We provide simulation results to show eCG with 0 or 2.5 ms delay for recycling can achieve performance gain over the legacy DG scheduling with 3 or 5 ms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ms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r w:rsidRPr="00362785">
              <w:rPr>
                <w:rFonts w:ascii="Times New Roman" w:eastAsia="SimSun" w:hAnsi="Times New Roman" w:cs="Times New Roman"/>
                <w:szCs w:val="18"/>
                <w:lang w:val="en-US" w:eastAsia="zh-CN"/>
              </w:rPr>
              <w:t>ms.</w:t>
            </w:r>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xml:space="preserve">. So UE can determine to send the recycling indication when </w:t>
            </w:r>
            <w:r w:rsidRPr="0058310C">
              <w:rPr>
                <w:rFonts w:ascii="Times New Roman" w:eastAsia="SimSun" w:hAnsi="Times New Roman" w:cs="Times New Roman"/>
                <w:szCs w:val="18"/>
                <w:lang w:val="en-US" w:eastAsia="zh-CN"/>
              </w:rPr>
              <w:lastRenderedPageBreak/>
              <w:t>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1"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siganling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1"/>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 detals of signaling seems address Futurewei’s previous concern at least, and vivo provided more detailed replies. Maybe companies need more time to study the details especiall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Need to clarify the proposal is about further designs according to the agreement we made, we didn’t conclude any conlusion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seprate areegment.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lastRenderedPageBreak/>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68A1663F" w14:textId="77777777" w:rsidR="00876EC7"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on the recycling is that we don’t see that is really needed for capacity enhancement. The main drawback for DG claimed by proponets of Cg is the scheduling delay. On the other hand, proposed enhancement also causes delay:</w:t>
            </w:r>
          </w:p>
          <w:p w14:paraId="12DC6DB5"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872535">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Secondly, currenlt, CG resources, even being overbooked, can be overridden even without this enhancement.</w:t>
            </w:r>
          </w:p>
          <w:p w14:paraId="44215A4C" w14:textId="77777777" w:rsidR="00876EC7" w:rsidRDefault="00876EC7" w:rsidP="00872535">
            <w:pPr>
              <w:rPr>
                <w:rFonts w:ascii="Times New Roman" w:eastAsiaTheme="minorEastAsia" w:hAnsi="Times New Roman" w:cs="Times New Roman"/>
                <w:bCs/>
                <w:szCs w:val="18"/>
                <w:lang w:val="en-US" w:eastAsia="zh-CN"/>
              </w:rPr>
            </w:pPr>
          </w:p>
          <w:p w14:paraId="4E920002" w14:textId="77777777" w:rsidR="00876EC7" w:rsidRPr="004E3089" w:rsidRDefault="00876EC7"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 xml:space="preserve">porsal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HW/HiSi</w:t>
            </w:r>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HW/HiS</w:t>
            </w:r>
            <w:r w:rsidR="00C91BFA">
              <w:rPr>
                <w:rFonts w:ascii="Times New Roman" w:eastAsiaTheme="minorEastAsia" w:hAnsi="Times New Roman" w:cs="Times New Roman"/>
                <w:bCs/>
                <w:szCs w:val="18"/>
                <w:lang w:val="en-US" w:eastAsia="zh-CN"/>
              </w:rPr>
              <w:t>i,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/HiSi</w:t>
            </w:r>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HW/HiSi</w:t>
            </w:r>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The proponets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If P2-3-1 is kept for further consideration, we would prefer Alt.2 as it is more consistent with Rel-17 and is functionally equivalent to Alt.1 (i.e., although not a proponent, the answer to the moderator’s question to deptioritize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r>
        <w:rPr>
          <w:rFonts w:ascii="Times New Roman" w:eastAsia="Malgun Gothic" w:hAnsi="Times New Roman"/>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a solution that will not increase the size of DCI dramatically is Alt1 following the principles of multiPUSCH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r>
              <w:rPr>
                <w:rFonts w:ascii="Times New Roman" w:hAnsi="Times New Roman" w:cs="Times New Roman"/>
              </w:rPr>
              <w:t xml:space="preserve">Basically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Alt-1 and we suggest to remove Al-1a at thi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87253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mum spec impact (reusing exisitin</w:t>
            </w:r>
            <w:r w:rsidR="00A155F9">
              <w:rPr>
                <w:rFonts w:ascii="Times New Roman" w:eastAsiaTheme="minorEastAsia" w:hAnsi="Times New Roman" w:cs="Times New Roman"/>
                <w:bCs/>
                <w:szCs w:val="18"/>
                <w:lang w:val="en-US" w:eastAsia="zh-CN"/>
              </w:rPr>
              <w:t>g</w:t>
            </w:r>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r w:rsidRPr="0031758B">
              <w:rPr>
                <w:rFonts w:ascii="Times New Roman" w:eastAsiaTheme="minorEastAsia" w:hAnsi="Times New Roman" w:cs="Times New Roman"/>
                <w:bCs/>
                <w:szCs w:val="18"/>
                <w:lang w:val="en-US" w:eastAsia="zh-CN"/>
              </w:rPr>
              <w:t xml:space="preserve">proporsal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proponets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lastRenderedPageBreak/>
        <w:t>Enhancements related to match the periodicity for CG transmissions with non-interger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xml:space="preserve">, Ericsson, HW/HiSi,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disucsison,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llocat</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r w:rsidR="00A45754">
              <w:rPr>
                <w:rFonts w:ascii="Times New Roman" w:eastAsia="SimSun" w:hAnsi="Times New Roman" w:cs="Times New Roman"/>
                <w:szCs w:val="18"/>
                <w:lang w:val="en-US" w:eastAsia="zh-TW"/>
              </w:rPr>
              <w:t>llocated</w:t>
            </w:r>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r>
              <w:rPr>
                <w:rFonts w:ascii="Calibri" w:eastAsia="Times New Roman" w:hAnsi="Calibri" w:cs="Calibri"/>
                <w:color w:val="000000"/>
                <w:sz w:val="22"/>
                <w:lang w:val="en-US"/>
              </w:rPr>
              <w:t>erator</w:t>
            </w:r>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The trunking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872535">
        <w:tc>
          <w:tcPr>
            <w:tcW w:w="1867" w:type="dxa"/>
          </w:tcPr>
          <w:p w14:paraId="284D00B2" w14:textId="77777777" w:rsidR="00AD5528" w:rsidRPr="004E0ECC" w:rsidRDefault="00AD5528"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7B4C6A" w14:paraId="3765460D" w14:textId="77777777" w:rsidTr="007B4C6A">
        <w:tc>
          <w:tcPr>
            <w:tcW w:w="1867" w:type="dxa"/>
            <w:shd w:val="clear" w:color="auto" w:fill="FFC000" w:themeFill="accent4"/>
          </w:tcPr>
          <w:p w14:paraId="31E86286" w14:textId="57E496D9" w:rsidR="007B4C6A" w:rsidRDefault="007B4C6A" w:rsidP="0087253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872535">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HW/HiSi,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872535">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gaols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87253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down-priorotize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872535">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3C6200" w:rsidRDefault="00537F8B"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008C3AE5" w:rsidRPr="003C6200">
              <w:rPr>
                <w:rFonts w:ascii="Times New Roman" w:hAnsi="Times New Roman" w:cs="Times New Roman"/>
                <w:b/>
                <w:bCs/>
                <w:szCs w:val="24"/>
              </w:rPr>
              <w:t>differentiation</w:t>
            </w:r>
            <w:r w:rsidR="003C6200" w:rsidRPr="003C6200">
              <w:rPr>
                <w:rFonts w:ascii="Times New Roman" w:hAnsi="Times New Roman" w:cs="Times New Roman"/>
                <w:b/>
                <w:bCs/>
                <w:szCs w:val="24"/>
              </w:rPr>
              <w:t xml:space="preserve"> of</w:t>
            </w:r>
            <w:r w:rsidR="008C3AE5" w:rsidRPr="003C6200">
              <w:rPr>
                <w:rFonts w:ascii="Times New Roman" w:eastAsia="SimSun" w:hAnsi="Times New Roman" w:cs="Times New Roman"/>
                <w:b/>
                <w:bCs/>
                <w:szCs w:val="18"/>
                <w:lang w:val="en-US" w:eastAsia="zh-CN"/>
              </w:rPr>
              <w:t xml:space="preserve"> XR </w:t>
            </w:r>
            <w:r w:rsidR="008C3AE5" w:rsidRPr="003C6200">
              <w:rPr>
                <w:rFonts w:ascii="Times New Roman" w:hAnsi="Times New Roman" w:cs="Times New Roman"/>
                <w:b/>
                <w:bCs/>
                <w:szCs w:val="24"/>
              </w:rPr>
              <w:t xml:space="preserve">multiple flows </w:t>
            </w:r>
            <w:r w:rsidR="003C6200" w:rsidRPr="003C6200">
              <w:rPr>
                <w:rFonts w:ascii="Times New Roman" w:hAnsi="Times New Roman" w:cs="Times New Roman"/>
                <w:b/>
                <w:bCs/>
                <w:szCs w:val="24"/>
              </w:rPr>
              <w:t>based on</w:t>
            </w:r>
            <w:r w:rsidR="008C3AE5" w:rsidRPr="003C6200">
              <w:rPr>
                <w:rFonts w:ascii="Times New Roman" w:hAnsi="Times New Roman" w:cs="Times New Roman"/>
                <w:b/>
                <w:bCs/>
                <w:szCs w:val="24"/>
              </w:rPr>
              <w:t xml:space="preserve"> CG </w:t>
            </w:r>
            <w:r w:rsidR="003C6200" w:rsidRPr="003C6200">
              <w:rPr>
                <w:rFonts w:ascii="Times New Roman" w:hAnsi="Times New Roman" w:cs="Times New Roman"/>
                <w:b/>
                <w:bCs/>
                <w:szCs w:val="24"/>
              </w:rPr>
              <w:t>enhancement is down-priorotized</w:t>
            </w:r>
            <w:r w:rsidR="00E7547C">
              <w:rPr>
                <w:rFonts w:ascii="Times New Roman" w:hAnsi="Times New Roman" w:cs="Times New Roman"/>
                <w:b/>
                <w:bCs/>
                <w:szCs w:val="24"/>
                <w:lang w:val="en-US"/>
              </w:rPr>
              <w:t xml:space="preserve"> in RAN1 XR SI</w:t>
            </w:r>
            <w:r w:rsidR="003C6200" w:rsidRPr="003C6200">
              <w:rPr>
                <w:rFonts w:ascii="Times New Roman" w:hAnsi="Times New Roman" w:cs="Times New Roman"/>
                <w:b/>
                <w:bCs/>
                <w:szCs w:val="24"/>
              </w:rPr>
              <w:t>.</w:t>
            </w:r>
          </w:p>
          <w:p w14:paraId="3B1889A5" w14:textId="0A264AAD" w:rsidR="00E33ECB" w:rsidRDefault="00E33ECB" w:rsidP="00872535">
            <w:pPr>
              <w:rPr>
                <w:rFonts w:ascii="Times New Roman" w:eastAsia="SimSun" w:hAnsi="Times New Roman" w:cs="Times New Roman"/>
                <w:szCs w:val="18"/>
                <w:lang w:val="en-US" w:eastAsia="zh-CN"/>
              </w:rPr>
            </w:pP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onjunctio</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w:t>
            </w:r>
            <w:r>
              <w:rPr>
                <w:rFonts w:ascii="Times New Roman" w:eastAsiaTheme="minorEastAsia" w:hAnsi="Times New Roman" w:cs="Times New Roman"/>
                <w:bCs/>
                <w:szCs w:val="18"/>
                <w:lang w:val="en-US" w:eastAsia="zh-CN"/>
              </w:rPr>
              <w:t xml:space="preserve">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r>
              <w:rPr>
                <w:rFonts w:ascii="Times New Roman" w:hAnsi="Times New Roman" w:cs="Times New Roman"/>
                <w:lang w:val="en-US"/>
              </w:rPr>
              <w:t>xtend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onjunction</w:t>
            </w:r>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 xml:space="preserve">enovo,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(wourd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Similar view as Futrewei.</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872535">
        <w:tc>
          <w:tcPr>
            <w:tcW w:w="1867" w:type="dxa"/>
          </w:tcPr>
          <w:p w14:paraId="37E09722" w14:textId="77777777" w:rsidR="00110F57" w:rsidRDefault="00110F57" w:rsidP="0087253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87253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872535">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87253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3C6200" w:rsidRDefault="00F00D73" w:rsidP="00875A36">
            <w:pPr>
              <w:pStyle w:val="ListParagraph"/>
              <w:numPr>
                <w:ilvl w:val="0"/>
                <w:numId w:val="108"/>
              </w:numPr>
              <w:rPr>
                <w:rFonts w:ascii="Times New Roman" w:hAnsi="Times New Roman" w:cs="Times New Roman"/>
                <w:b/>
                <w:bCs/>
                <w:szCs w:val="24"/>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3C6200">
              <w:rPr>
                <w:rFonts w:ascii="Times New Roman" w:hAnsi="Times New Roman" w:cs="Times New Roman"/>
                <w:b/>
                <w:bCs/>
                <w:szCs w:val="24"/>
              </w:rPr>
              <w:t>is down-priorotized</w:t>
            </w:r>
            <w:r w:rsidR="003C0741">
              <w:rPr>
                <w:rFonts w:ascii="Times New Roman" w:hAnsi="Times New Roman" w:cs="Times New Roman"/>
                <w:b/>
                <w:bCs/>
                <w:szCs w:val="24"/>
                <w:lang w:val="en-US"/>
              </w:rPr>
              <w:t xml:space="preserve"> in RAN1 XR SI</w:t>
            </w:r>
            <w:r w:rsidRPr="003C6200">
              <w:rPr>
                <w:rFonts w:ascii="Times New Roman" w:hAnsi="Times New Roman" w:cs="Times New Roman"/>
                <w:b/>
                <w:bCs/>
                <w:szCs w:val="24"/>
              </w:rPr>
              <w:t>.</w:t>
            </w:r>
          </w:p>
          <w:p w14:paraId="4CCF4878" w14:textId="7EDFBAB7" w:rsidR="00F00D73" w:rsidRDefault="00F00D73" w:rsidP="00872535">
            <w:pPr>
              <w:tabs>
                <w:tab w:val="left" w:pos="0"/>
              </w:tabs>
              <w:jc w:val="left"/>
              <w:rPr>
                <w:rFonts w:ascii="Times New Roman" w:hAnsi="Times New Roman" w:cs="Times New Roman"/>
                <w:lang w:val="en-US" w:eastAsia="zh-CN"/>
              </w:rPr>
            </w:pP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w:t>
            </w:r>
            <w:r>
              <w:rPr>
                <w:rFonts w:ascii="Times New Roman" w:hAnsi="Times New Roman" w:cs="Times New Roman"/>
                <w:szCs w:val="18"/>
                <w:lang w:val="en-US" w:eastAsia="ja-JP"/>
              </w:rPr>
              <w:lastRenderedPageBreak/>
              <w:t xml:space="preserve">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proponet, we are supportive. But, as mentioned earlier, we are OK to enable support of multi-PxSCH “as it is”, that is without enhancements to FR1/FR2-1. The capacity gain, if any, is limited for any enhancement and </w:t>
            </w:r>
            <w:r>
              <w:rPr>
                <w:rFonts w:ascii="Times New Roman" w:eastAsia="SimSun" w:hAnsi="Times New Roman" w:cs="Times New Roman"/>
                <w:szCs w:val="18"/>
                <w:lang w:val="en-US" w:eastAsia="zh-CN"/>
              </w:rPr>
              <w:lastRenderedPageBreak/>
              <w:t>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P3-3-2 and P3-3-3, due to the Conclusion in section 1.1.3, the corresponding disucsison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OPPO, Lenovo, HW/HiSi,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ZTE, LG, HW/HiSi,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include/ehnace UCI in CG-PUSCH for recycling etc., or BSR. These proposals are OK since they are contained and based on extension of existing framework.</w:t>
            </w:r>
          </w:p>
          <w:p w14:paraId="12C1820C" w14:textId="689DFA99" w:rsidR="00FB6439" w:rsidRDefault="00FB643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But it is not clear to us with having thse,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87253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HW/HiSi</w:t>
            </w:r>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depriorotizing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HW/HiSi</w:t>
            </w:r>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 respect to evalution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proponet, Moderator suggests to down-priorotize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r>
              <w:rPr>
                <w:rFonts w:ascii="Times New Roman" w:hAnsi="Times New Roman" w:cs="Times New Roman"/>
                <w:iCs/>
              </w:rPr>
              <w:t>tudy of multi-bits SR mechanisms for capacity improvement of XR traffic is down-priorotized</w:t>
            </w:r>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0"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0"/>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1"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2" w:name="OLE_LINK487"/>
            <w:r>
              <w:rPr>
                <w:rFonts w:ascii="Times New Roman" w:hAnsi="Times New Roman" w:cs="Times New Roman"/>
                <w:szCs w:val="18"/>
                <w:lang w:val="en-US" w:eastAsia="ja-JP"/>
              </w:rPr>
              <w:t>3-5-3</w:t>
            </w:r>
            <w:bookmarkEnd w:id="32"/>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1"/>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3-5-5, 3-5-6. We are OK to further discuss when the evalution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r>
        <w:rPr>
          <w:rFonts w:ascii="Times New Roman" w:eastAsiaTheme="minorEastAsia" w:hAnsi="Times New Roman" w:cs="Times New Roman"/>
          <w:b/>
          <w:bCs/>
          <w:i/>
          <w:iCs/>
          <w:sz w:val="22"/>
          <w:szCs w:val="24"/>
          <w:lang w:val="en-US" w:eastAsia="zh-CN"/>
        </w:rPr>
        <w:t xml:space="preserve">playoutDelayForMediaStartup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r>
        <w:rPr>
          <w:rFonts w:ascii="Times New Roman" w:eastAsiaTheme="minorEastAsia" w:hAnsi="Times New Roman" w:cs="Times New Roman"/>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3" w:name="OLE_LINK669"/>
            <w:r>
              <w:rPr>
                <w:rFonts w:ascii="Times New Roman" w:eastAsiaTheme="minorEastAsia" w:hAnsi="Times New Roman" w:cs="Times New Roman"/>
                <w:bCs/>
                <w:szCs w:val="18"/>
                <w:lang w:val="en-US" w:eastAsia="zh-CN"/>
              </w:rPr>
              <w:t>3-5-5/3-5-6</w:t>
            </w:r>
            <w:bookmarkEnd w:id="33"/>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4" w:name="OLE_LINK668"/>
            <w:r>
              <w:rPr>
                <w:rFonts w:ascii="Times New Roman" w:eastAsia="SimSun" w:hAnsi="Times New Roman" w:cs="Times New Roman"/>
                <w:szCs w:val="18"/>
                <w:lang w:val="en-US" w:eastAsia="zh-CN"/>
              </w:rPr>
              <w:t>Support the moderator’s suggestions.</w:t>
            </w:r>
            <w:bookmarkEnd w:id="34"/>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hint="eastAsia"/>
                <w:bCs/>
                <w:szCs w:val="18"/>
                <w:lang w:val="en-US" w:eastAsia="ko-KR"/>
              </w:rPr>
              <w:t xml:space="preserve">Aggree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r>
              <w:rPr>
                <w:rFonts w:ascii="Times New Roman" w:eastAsia="Malgun Gothic" w:hAnsi="Times New Roman" w:cs="Times New Roman" w:hint="eastAsia"/>
                <w:bCs/>
                <w:szCs w:val="18"/>
                <w:lang w:val="en-US" w:eastAsia="ko-KR"/>
              </w:rPr>
              <w:t xml:space="preserve">Aggree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872535">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gNB implementaitons. We request proponets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872535">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r w:rsidRPr="00481913">
              <w:rPr>
                <w:rFonts w:ascii="Times New Roman" w:eastAsia="SimSun" w:hAnsi="Times New Roman" w:cs="Times New Roman"/>
                <w:b/>
                <w:bCs/>
                <w:szCs w:val="18"/>
                <w:u w:val="single"/>
                <w:lang w:eastAsia="zh-CN"/>
              </w:rPr>
              <w:t>ummary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 xml:space="preserve">K to close the discussion/down-priorotize: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 xml:space="preserve">K to close the discussion/down-priorotize: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FD4890">
              <w:rPr>
                <w:rFonts w:ascii="Times New Roman" w:hAnsi="Times New Roman" w:cs="Times New Roman"/>
              </w:rPr>
              <w:t>W</w:t>
            </w:r>
            <w:r w:rsidR="00BF189A" w:rsidRPr="00FD4890">
              <w:rPr>
                <w:rFonts w:ascii="Times New Roman" w:hAnsi="Times New Roman" w:cs="Times New Roman"/>
                <w:lang w:val="en-US"/>
              </w:rPr>
              <w:t>,</w:t>
            </w:r>
            <w:r w:rsidR="00BF189A" w:rsidRPr="00FD4890">
              <w:rPr>
                <w:rFonts w:ascii="Times New Roman" w:hAnsi="Times New Roman" w:cs="Times New Roman"/>
              </w:rPr>
              <w:t xml:space="preserve"> </w:t>
            </w:r>
            <w:r w:rsidR="008B5794" w:rsidRPr="00FD4890">
              <w:rPr>
                <w:rFonts w:ascii="Times New Roman" w:hAnsi="Times New Roman" w:cs="Times New Roman"/>
              </w:rPr>
              <w:t>N</w:t>
            </w:r>
            <w:r w:rsidR="008B5794" w:rsidRPr="00FD4890">
              <w:rPr>
                <w:rFonts w:ascii="Times New Roman" w:hAnsi="Times New Roman" w:cs="Times New Roman"/>
                <w:lang w:val="en-US"/>
              </w:rPr>
              <w:t>o</w:t>
            </w:r>
            <w:r w:rsidR="008B5794" w:rsidRPr="00FD4890">
              <w:rPr>
                <w:rFonts w:ascii="Times New Roman" w:hAnsi="Times New Roman" w:cs="Times New Roman"/>
              </w:rPr>
              <w:t>k</w:t>
            </w:r>
            <w:r w:rsidR="008B5794" w:rsidRPr="00FD4890">
              <w:rPr>
                <w:rFonts w:ascii="Times New Roman" w:hAnsi="Times New Roman" w:cs="Times New Roman"/>
                <w:lang w:val="en-US"/>
              </w:rPr>
              <w:t>i</w:t>
            </w:r>
            <w:r w:rsidR="008B5794" w:rsidRPr="00FD4890">
              <w:rPr>
                <w:rFonts w:ascii="Times New Roman" w:hAnsi="Times New Roman" w:cs="Times New Roman"/>
              </w:rPr>
              <w:t>a</w:t>
            </w:r>
            <w:r w:rsidR="008B5794" w:rsidRPr="00FD4890">
              <w:rPr>
                <w:rFonts w:ascii="Times New Roman" w:hAnsi="Times New Roman" w:cs="Times New Roman"/>
                <w:lang w:val="en-US"/>
              </w:rPr>
              <w:t>/</w:t>
            </w:r>
            <w:r w:rsidR="008B5794" w:rsidRPr="00FD4890">
              <w:rPr>
                <w:rFonts w:ascii="Times New Roman" w:hAnsi="Times New Roman" w:cs="Times New Roman"/>
              </w:rPr>
              <w:t>N</w:t>
            </w:r>
            <w:r w:rsidR="008B5794" w:rsidRPr="00FD4890">
              <w:rPr>
                <w:rFonts w:ascii="Times New Roman" w:hAnsi="Times New Roman" w:cs="Times New Roman"/>
                <w:lang w:val="en-US"/>
              </w:rPr>
              <w:t>S</w:t>
            </w:r>
            <w:r w:rsidR="008B5794" w:rsidRPr="00FD4890">
              <w:rPr>
                <w:rFonts w:ascii="Times New Roman" w:hAnsi="Times New Roman" w:cs="Times New Roman"/>
              </w:rPr>
              <w:t>B</w:t>
            </w:r>
            <w:r w:rsidR="008B5794" w:rsidRPr="00FD4890">
              <w:rPr>
                <w:rFonts w:ascii="Times New Roman" w:hAnsi="Times New Roman" w:cs="Times New Roman"/>
                <w:lang w:val="en-US"/>
              </w:rPr>
              <w:t>,</w:t>
            </w:r>
            <w:r w:rsidR="008B5794" w:rsidRPr="00FD4890">
              <w:rPr>
                <w:rFonts w:ascii="Times New Roman" w:hAnsi="Times New Roman" w:cs="Times New Roman"/>
              </w:rPr>
              <w:t xml:space="preserve"> </w:t>
            </w:r>
            <w:r w:rsidR="00A92949" w:rsidRPr="00FD4890">
              <w:rPr>
                <w:rFonts w:ascii="Times New Roman" w:hAnsi="Times New Roman" w:cs="Times New Roman"/>
                <w:lang w:val="en-US"/>
              </w:rPr>
              <w:t>Q</w:t>
            </w:r>
            <w:r w:rsidR="00A92949" w:rsidRPr="00FD4890">
              <w:rPr>
                <w:rFonts w:ascii="Times New Roman" w:hAnsi="Times New Roman" w:cs="Times New Roman"/>
              </w:rPr>
              <w:t>C</w:t>
            </w:r>
            <w:r w:rsidR="009D3DCB" w:rsidRPr="00FD4890">
              <w:rPr>
                <w:rFonts w:ascii="Times New Roman" w:hAnsi="Times New Roman" w:cs="Times New Roman"/>
                <w:lang w:val="en-US"/>
              </w:rPr>
              <w:t>,</w:t>
            </w:r>
            <w:r w:rsidR="009D3DCB" w:rsidRPr="00FD4890">
              <w:rPr>
                <w:rFonts w:ascii="Times New Roman" w:hAnsi="Times New Roman" w:cs="Times New Roman"/>
              </w:rPr>
              <w:t xml:space="preserve"> </w:t>
            </w:r>
            <w:r w:rsidR="009D3DCB" w:rsidRPr="00FD4890">
              <w:rPr>
                <w:rFonts w:ascii="Times New Roman" w:hAnsi="Times New Roman" w:cs="Times New Roman"/>
                <w:lang w:val="en-US"/>
              </w:rPr>
              <w:t>M</w:t>
            </w:r>
            <w:r w:rsidR="009D3DCB" w:rsidRPr="00FD4890">
              <w:rPr>
                <w:rFonts w:ascii="Times New Roman" w:hAnsi="Times New Roman" w:cs="Times New Roman"/>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FD4890">
              <w:rPr>
                <w:rFonts w:ascii="Times New Roman" w:hAnsi="Times New Roman" w:cs="Times New Roman"/>
              </w:rPr>
              <w:t xml:space="preserve"> </w:t>
            </w:r>
            <w:r w:rsidR="00C620D8" w:rsidRPr="00FD4890">
              <w:rPr>
                <w:rFonts w:ascii="Times New Roman" w:hAnsi="Times New Roman" w:cs="Times New Roman"/>
                <w:lang w:val="en-US"/>
              </w:rPr>
              <w:t>v</w:t>
            </w:r>
            <w:r w:rsidR="00C620D8" w:rsidRPr="00FD4890">
              <w:rPr>
                <w:rFonts w:ascii="Times New Roman" w:hAnsi="Times New Roman" w:cs="Times New Roman"/>
              </w:rPr>
              <w:t>i</w:t>
            </w:r>
            <w:r w:rsidR="00C620D8" w:rsidRPr="00FD4890">
              <w:rPr>
                <w:rFonts w:ascii="Times New Roman" w:hAnsi="Times New Roman" w:cs="Times New Roman"/>
                <w:lang w:val="en-US"/>
              </w:rPr>
              <w:t>v</w:t>
            </w:r>
            <w:r w:rsidR="00C620D8" w:rsidRPr="00FD4890">
              <w:rPr>
                <w:rFonts w:ascii="Times New Roman" w:hAnsi="Times New Roman" w:cs="Times New Roman"/>
              </w:rPr>
              <w:t>o</w:t>
            </w:r>
            <w:r w:rsidR="002C5FA8" w:rsidRPr="00FD4890">
              <w:rPr>
                <w:rFonts w:ascii="Times New Roman" w:hAnsi="Times New Roman" w:cs="Times New Roman"/>
                <w:lang w:val="en-US"/>
              </w:rPr>
              <w:t>,</w:t>
            </w:r>
            <w:r w:rsidR="002C5FA8" w:rsidRPr="00FD4890">
              <w:rPr>
                <w:rFonts w:ascii="Times New Roman" w:hAnsi="Times New Roman" w:cs="Times New Roman"/>
              </w:rPr>
              <w:t xml:space="preserve"> </w:t>
            </w:r>
            <w:r w:rsidR="002C5FA8" w:rsidRPr="00FD4890">
              <w:rPr>
                <w:rFonts w:ascii="Times New Roman" w:hAnsi="Times New Roman" w:cs="Times New Roman"/>
                <w:lang w:val="en-US"/>
              </w:rPr>
              <w:t>G</w:t>
            </w:r>
            <w:r w:rsidR="002C5FA8" w:rsidRPr="00FD4890">
              <w:rPr>
                <w:rFonts w:ascii="Times New Roman" w:hAnsi="Times New Roman" w:cs="Times New Roman"/>
              </w:rPr>
              <w:t>o</w:t>
            </w:r>
            <w:r w:rsidR="002C5FA8" w:rsidRPr="00FD4890">
              <w:rPr>
                <w:rFonts w:ascii="Times New Roman" w:hAnsi="Times New Roman" w:cs="Times New Roman"/>
                <w:lang w:val="en-US"/>
              </w:rPr>
              <w:t>o</w:t>
            </w:r>
            <w:r w:rsidR="002C5FA8" w:rsidRPr="00FD4890">
              <w:rPr>
                <w:rFonts w:ascii="Times New Roman" w:hAnsi="Times New Roman" w:cs="Times New Roman"/>
              </w:rPr>
              <w:t>g</w:t>
            </w:r>
            <w:r w:rsidR="002C5FA8" w:rsidRPr="00FD4890">
              <w:rPr>
                <w:rFonts w:ascii="Times New Roman" w:hAnsi="Times New Roman" w:cs="Times New Roman"/>
                <w:lang w:val="en-US"/>
              </w:rPr>
              <w:t>l</w:t>
            </w:r>
            <w:r w:rsidR="002C5FA8" w:rsidRPr="00FD4890">
              <w:rPr>
                <w:rFonts w:ascii="Times New Roman" w:hAnsi="Times New Roman" w:cs="Times New Roman"/>
              </w:rPr>
              <w:t>e</w:t>
            </w:r>
            <w:r w:rsidR="002C5FA8" w:rsidRPr="00FD4890">
              <w:rPr>
                <w:rFonts w:ascii="Times New Roman" w:hAnsi="Times New Roman" w:cs="Times New Roman"/>
                <w:lang w:val="en-US"/>
              </w:rPr>
              <w:t>,</w:t>
            </w:r>
            <w:r w:rsidR="002C5FA8" w:rsidRPr="00FD4890">
              <w:rPr>
                <w:rFonts w:ascii="Times New Roman" w:hAnsi="Times New Roman" w:cs="Times New Roman"/>
              </w:rPr>
              <w:t xml:space="preserve"> </w:t>
            </w:r>
            <w:r w:rsidR="002C5FA8" w:rsidRPr="00FD4890">
              <w:rPr>
                <w:rFonts w:ascii="Times New Roman" w:hAnsi="Times New Roman" w:cs="Times New Roman"/>
                <w:lang w:val="en-US"/>
              </w:rPr>
              <w:t>L</w:t>
            </w:r>
            <w:r w:rsidR="002C5FA8" w:rsidRPr="00FD4890">
              <w:rPr>
                <w:rFonts w:ascii="Times New Roman" w:hAnsi="Times New Roman" w:cs="Times New Roman"/>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r w:rsidR="006C5A4E" w:rsidRPr="00FD4890">
              <w:rPr>
                <w:rFonts w:ascii="Times New Roman" w:eastAsia="SimSun" w:hAnsi="Times New Roman" w:cs="Times New Roman"/>
                <w:szCs w:val="18"/>
                <w:lang w:val="en-US" w:eastAsia="zh-CN"/>
              </w:rPr>
              <w:t xml:space="preserve">the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The need for complexity analysis and 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down-priorotize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-priorotized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2C09F9">
              <w:rPr>
                <w:rStyle w:val="B1Zchn"/>
                <w:rFonts w:ascii="Times New Roman" w:hAnsi="Times New Roman" w:cs="Times New Roman"/>
                <w:b/>
                <w:bCs/>
              </w:rPr>
              <w:t>3</w:t>
            </w:r>
            <w:r w:rsidR="002C09F9" w:rsidRPr="002C09F9">
              <w:rPr>
                <w:rStyle w:val="B1Zchn"/>
                <w:rFonts w:ascii="Times New Roman" w:hAnsi="Times New Roman" w:cs="Times New Roman"/>
                <w:b/>
                <w:bCs/>
                <w:lang w:val="en-US"/>
              </w:rPr>
              <w:t>-</w:t>
            </w:r>
            <w:r w:rsidR="002C09F9" w:rsidRPr="002C09F9">
              <w:rPr>
                <w:rStyle w:val="B1Zchn"/>
                <w:rFonts w:ascii="Times New Roman" w:hAnsi="Times New Roman" w:cs="Times New Roman"/>
                <w:b/>
                <w:bCs/>
              </w:rPr>
              <w:t>5</w:t>
            </w:r>
            <w:r w:rsidR="002C09F9" w:rsidRPr="002C09F9">
              <w:rPr>
                <w:rStyle w:val="B1Zchn"/>
                <w:rFonts w:ascii="Times New Roman" w:hAnsi="Times New Roman" w:cs="Times New Roman"/>
                <w:b/>
                <w:bCs/>
                <w:lang w:val="en-US"/>
              </w:rPr>
              <w:t>-</w:t>
            </w:r>
            <w:r w:rsidR="002C09F9" w:rsidRPr="002C09F9">
              <w:rPr>
                <w:rStyle w:val="B1Zchn"/>
                <w:rFonts w:ascii="Times New Roman" w:hAnsi="Times New Roman" w:cs="Times New Roman"/>
                <w:b/>
                <w:bCs/>
              </w:rPr>
              <w:t>1</w:t>
            </w:r>
            <w:r>
              <w:rPr>
                <w:rStyle w:val="B1Zchn"/>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Pr>
                <w:rStyle w:val="B1Zchn"/>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r w:rsidR="00590D81">
              <w:rPr>
                <w:rFonts w:ascii="Times New Roman" w:eastAsiaTheme="minorEastAsia" w:hAnsi="Times New Roman" w:cs="Times New Roman"/>
                <w:b/>
                <w:bCs/>
                <w:i/>
                <w:iCs/>
                <w:lang w:val="en-US" w:eastAsia="zh-CN"/>
              </w:rPr>
              <w:t xml:space="preserve">playoutDelayForMediaStartup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Pr>
                <w:rStyle w:val="B1Zchn"/>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2C09F9">
              <w:rPr>
                <w:rStyle w:val="B1Zchn"/>
                <w:rFonts w:ascii="Times New Roman" w:hAnsi="Times New Roman" w:cs="Times New Roman"/>
                <w:b/>
                <w:bCs/>
              </w:rPr>
              <w:t>3</w:t>
            </w:r>
            <w:r w:rsidRPr="002C09F9">
              <w:rPr>
                <w:rStyle w:val="B1Zchn"/>
                <w:rFonts w:ascii="Times New Roman" w:hAnsi="Times New Roman" w:cs="Times New Roman"/>
                <w:b/>
                <w:bCs/>
                <w:lang w:val="en-US"/>
              </w:rPr>
              <w:t>-</w:t>
            </w:r>
            <w:r w:rsidRPr="002C09F9">
              <w:rPr>
                <w:rStyle w:val="B1Zchn"/>
                <w:rFonts w:ascii="Times New Roman" w:hAnsi="Times New Roman" w:cs="Times New Roman"/>
                <w:b/>
                <w:bC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Pr>
                <w:rStyle w:val="B1Zchn"/>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EC4AE3">
              <w:rPr>
                <w:rStyle w:val="B1Zchn"/>
                <w:rFonts w:ascii="Times New Roman" w:hAnsi="Times New Roman" w:cs="Times New Roman"/>
                <w:b/>
                <w:bCs/>
              </w:rPr>
              <w:t>t</w:t>
            </w:r>
            <w:r w:rsidR="00021404" w:rsidRPr="00EC4AE3">
              <w:rPr>
                <w:rStyle w:val="B1Zchn"/>
                <w:rFonts w:ascii="Times New Roman" w:hAnsi="Times New Roman" w:cs="Times New Roman"/>
                <w:b/>
                <w:bCs/>
                <w:lang w:val="en-US"/>
              </w:rPr>
              <w:t>u</w:t>
            </w:r>
            <w:r w:rsidR="00021404" w:rsidRPr="00EC4AE3">
              <w:rPr>
                <w:rStyle w:val="B1Zchn"/>
                <w:rFonts w:ascii="Times New Roman" w:hAnsi="Times New Roman" w:cs="Times New Roman"/>
                <w:b/>
                <w:bCs/>
              </w:rPr>
              <w:t>d</w:t>
            </w:r>
            <w:r w:rsidR="00021404" w:rsidRPr="00EC4AE3">
              <w:rPr>
                <w:rStyle w:val="B1Zchn"/>
                <w:rFonts w:ascii="Times New Roman" w:hAnsi="Times New Roman" w:cs="Times New Roman"/>
                <w:b/>
                <w:bCs/>
                <w:lang w:val="en-US"/>
              </w:rPr>
              <w:t>y</w:t>
            </w:r>
            <w:r w:rsidR="00021404" w:rsidRPr="00EC4AE3">
              <w:rPr>
                <w:rStyle w:val="B1Zchn"/>
                <w:rFonts w:ascii="Times New Roman" w:hAnsi="Times New Roman" w:cs="Times New Roman"/>
                <w:b/>
                <w:bC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EC4AE3">
              <w:rPr>
                <w:rStyle w:val="B1Zchn"/>
                <w:rFonts w:ascii="Times New Roman" w:hAnsi="Times New Roman" w:cs="Times New Roman"/>
                <w:b/>
                <w:bCs/>
              </w:rPr>
              <w:t>e</w:t>
            </w:r>
            <w:r w:rsidR="00021404" w:rsidRPr="00EC4AE3">
              <w:rPr>
                <w:rStyle w:val="B1Zchn"/>
                <w:rFonts w:ascii="Times New Roman" w:hAnsi="Times New Roman" w:cs="Times New Roman"/>
                <w:b/>
                <w:bCs/>
                <w:lang w:val="en-US"/>
              </w:rPr>
              <w:t>c</w:t>
            </w:r>
            <w:r w:rsidR="00021404" w:rsidRPr="00EC4AE3">
              <w:rPr>
                <w:rStyle w:val="B1Zchn"/>
                <w:rFonts w:ascii="Times New Roman" w:hAnsi="Times New Roman" w:cs="Times New Roman"/>
                <w:b/>
                <w:bCs/>
              </w:rPr>
              <w:t>h</w:t>
            </w:r>
            <w:r w:rsidR="00021404" w:rsidRPr="00EC4AE3">
              <w:rPr>
                <w:rStyle w:val="B1Zchn"/>
                <w:rFonts w:ascii="Times New Roman" w:hAnsi="Times New Roman" w:cs="Times New Roman"/>
                <w:b/>
                <w:bCs/>
                <w:lang w:val="en-US"/>
              </w:rPr>
              <w:t>a</w:t>
            </w:r>
            <w:r w:rsidR="00021404" w:rsidRPr="00EC4AE3">
              <w:rPr>
                <w:rStyle w:val="B1Zchn"/>
                <w:rFonts w:ascii="Times New Roman" w:hAnsi="Times New Roman" w:cs="Times New Roman"/>
                <w:b/>
                <w:bCs/>
              </w:rPr>
              <w:t>n</w:t>
            </w:r>
            <w:r w:rsidR="00021404" w:rsidRPr="00EC4AE3">
              <w:rPr>
                <w:rStyle w:val="B1Zchn"/>
                <w:rFonts w:ascii="Times New Roman" w:hAnsi="Times New Roman" w:cs="Times New Roman"/>
                <w:b/>
                <w:bCs/>
                <w:lang w:val="en-US"/>
              </w:rPr>
              <w:t>i</w:t>
            </w:r>
            <w:r w:rsidR="00021404" w:rsidRPr="00EC4AE3">
              <w:rPr>
                <w:rStyle w:val="B1Zchn"/>
                <w:rFonts w:ascii="Times New Roman" w:hAnsi="Times New Roman" w:cs="Times New Roman"/>
                <w:b/>
                <w:bC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r</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C</w:t>
            </w:r>
            <w:r w:rsidR="00EC4AE3" w:rsidRPr="00EC4AE3">
              <w:rPr>
                <w:rFonts w:ascii="Times New Roman" w:hAnsi="Times New Roman" w:cs="Times New Roman"/>
                <w:b/>
                <w:bCs/>
              </w:rPr>
              <w:t>A</w:t>
            </w:r>
            <w:r w:rsidR="00EC4AE3" w:rsidRPr="00EC4AE3">
              <w:rPr>
                <w:rFonts w:ascii="Times New Roman" w:hAnsi="Times New Roman" w:cs="Times New Roman"/>
                <w:b/>
                <w:bCs/>
                <w:lang w:val="en-US"/>
              </w:rPr>
              <w:t xml:space="preserve"> </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p</w:t>
            </w:r>
            <w:r w:rsidR="00EC4AE3" w:rsidRPr="00EC4AE3">
              <w:rPr>
                <w:rFonts w:ascii="Times New Roman" w:hAnsi="Times New Roman" w:cs="Times New Roman"/>
                <w:b/>
                <w:bCs/>
              </w:rPr>
              <w:t>e</w:t>
            </w:r>
            <w:r w:rsidR="00EC4AE3" w:rsidRPr="00EC4AE3">
              <w:rPr>
                <w:rFonts w:ascii="Times New Roman" w:hAnsi="Times New Roman" w:cs="Times New Roman"/>
                <w:b/>
                <w:bCs/>
                <w:lang w:val="en-US"/>
              </w:rPr>
              <w:t>r</w:t>
            </w:r>
            <w:r w:rsidR="00EC4AE3" w:rsidRPr="00EC4AE3">
              <w:rPr>
                <w:rFonts w:ascii="Times New Roman" w:hAnsi="Times New Roman" w:cs="Times New Roman"/>
                <w:b/>
                <w:bCs/>
              </w:rPr>
              <w:t>a</w:t>
            </w:r>
            <w:r w:rsidR="00EC4AE3" w:rsidRPr="00EC4AE3">
              <w:rPr>
                <w:rFonts w:ascii="Times New Roman" w:hAnsi="Times New Roman" w:cs="Times New Roman"/>
                <w:b/>
                <w:bCs/>
                <w:lang w:val="en-US"/>
              </w:rPr>
              <w:t>t</w:t>
            </w:r>
            <w:r w:rsidR="00EC4AE3" w:rsidRPr="00EC4AE3">
              <w:rPr>
                <w:rFonts w:ascii="Times New Roman" w:hAnsi="Times New Roman" w:cs="Times New Roman"/>
                <w:b/>
                <w:bCs/>
              </w:rPr>
              <w:t>i</w:t>
            </w:r>
            <w:r w:rsidR="00EC4AE3" w:rsidRPr="00EC4AE3">
              <w:rPr>
                <w:rFonts w:ascii="Times New Roman" w:hAnsi="Times New Roman" w:cs="Times New Roman"/>
                <w:b/>
                <w:bCs/>
                <w:lang w:val="en-US"/>
              </w:rPr>
              <w:t>o</w:t>
            </w:r>
            <w:r w:rsidR="00EC4AE3" w:rsidRPr="00EC4AE3">
              <w:rPr>
                <w:rFonts w:ascii="Times New Roman" w:hAnsi="Times New Roman" w:cs="Times New Roman"/>
                <w:b/>
                <w:bCs/>
              </w:rPr>
              <w:t>n</w:t>
            </w:r>
            <w:r w:rsidR="00EC4AE3" w:rsidRPr="00EC4AE3">
              <w:rPr>
                <w:rFonts w:ascii="Times New Roman" w:hAnsi="Times New Roman" w:cs="Times New Roman"/>
                <w:b/>
                <w:bCs/>
                <w:lang w:val="en-US"/>
              </w:rPr>
              <w:t xml:space="preserve"> </w:t>
            </w:r>
            <w:r w:rsidR="00EC4AE3" w:rsidRPr="00EC4AE3">
              <w:rPr>
                <w:rFonts w:ascii="Times New Roman" w:hAnsi="Times New Roman" w:cs="Times New Roman"/>
                <w:b/>
                <w:bCs/>
              </w:rPr>
              <w:t>o</w:t>
            </w:r>
            <w:r w:rsidR="00EC4AE3" w:rsidRPr="00EC4AE3">
              <w:rPr>
                <w:rFonts w:ascii="Times New Roman" w:hAnsi="Times New Roman" w:cs="Times New Roman"/>
                <w:b/>
                <w:bCs/>
                <w:lang w:val="en-US"/>
              </w:rPr>
              <w:t>n</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T</w:t>
            </w:r>
            <w:r w:rsidR="00EC4AE3" w:rsidRPr="00EC4AE3">
              <w:rPr>
                <w:rFonts w:ascii="Times New Roman" w:hAnsi="Times New Roman" w:cs="Times New Roman"/>
                <w:b/>
                <w:bCs/>
              </w:rPr>
              <w:t>D</w:t>
            </w:r>
            <w:r w:rsidR="00EC4AE3" w:rsidRPr="00EC4AE3">
              <w:rPr>
                <w:rFonts w:ascii="Times New Roman" w:hAnsi="Times New Roman" w:cs="Times New Roman"/>
                <w:b/>
                <w:bCs/>
                <w:lang w:val="en-US"/>
              </w:rPr>
              <w:t>D</w:t>
            </w:r>
            <w:r w:rsidR="00EC4AE3" w:rsidRPr="00EC4AE3">
              <w:rPr>
                <w:rFonts w:ascii="Times New Roman" w:hAnsi="Times New Roman" w:cs="Times New Roman"/>
                <w:b/>
                <w:bCs/>
              </w:rPr>
              <w:t xml:space="preserve"> </w:t>
            </w:r>
            <w:r w:rsidR="00EC4AE3" w:rsidRPr="00EC4AE3">
              <w:rPr>
                <w:rFonts w:ascii="Times New Roman" w:hAnsi="Times New Roman" w:cs="Times New Roman"/>
                <w:b/>
                <w:bCs/>
                <w:lang w:val="en-US"/>
              </w:rPr>
              <w:t>c</w:t>
            </w:r>
            <w:r w:rsidR="00EC4AE3" w:rsidRPr="00EC4AE3">
              <w:rPr>
                <w:rFonts w:ascii="Times New Roman" w:hAnsi="Times New Roman" w:cs="Times New Roman"/>
                <w:b/>
                <w:bCs/>
              </w:rPr>
              <w:t>e</w:t>
            </w:r>
            <w:r w:rsidR="00EC4AE3" w:rsidRPr="00EC4AE3">
              <w:rPr>
                <w:rFonts w:ascii="Times New Roman" w:hAnsi="Times New Roman" w:cs="Times New Roman"/>
                <w:b/>
                <w:bCs/>
                <w:lang w:val="en-US"/>
              </w:rPr>
              <w:t>l</w:t>
            </w:r>
            <w:r w:rsidR="00EC4AE3" w:rsidRPr="00EC4AE3">
              <w:rPr>
                <w:rFonts w:ascii="Times New Roman" w:hAnsi="Times New Roman" w:cs="Times New Roman"/>
                <w:b/>
                <w:bC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EC4AE3">
              <w:rPr>
                <w:rFonts w:ascii="Times New Roman" w:eastAsiaTheme="minorEastAsia" w:hAnsi="Times New Roman" w:cs="Times New Roman"/>
                <w:b/>
                <w:bCs/>
                <w:lang w:eastAsia="zh-CN"/>
              </w:rPr>
              <w:t xml:space="preserve"> </w:t>
            </w:r>
            <w:r w:rsidRPr="00EC4AE3">
              <w:rPr>
                <w:rFonts w:ascii="Times New Roman" w:eastAsiaTheme="minorEastAsia" w:hAnsi="Times New Roman" w:cs="Times New Roman"/>
                <w:b/>
                <w:bCs/>
                <w:lang w:val="en-US" w:eastAsia="zh-CN"/>
              </w:rPr>
              <w:t>c</w:t>
            </w:r>
            <w:r w:rsidRPr="00EC4AE3">
              <w:rPr>
                <w:rFonts w:ascii="Times New Roman" w:eastAsiaTheme="minorEastAsia" w:hAnsi="Times New Roman" w:cs="Times New Roman"/>
                <w:b/>
                <w:bCs/>
                <w:lang w:eastAsia="zh-CN"/>
              </w:rPr>
              <w:t>o</w:t>
            </w:r>
            <w:r w:rsidRPr="00EC4AE3">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eastAsia="zh-CN"/>
              </w:rPr>
              <w:t>s</w:t>
            </w:r>
            <w:r w:rsidRPr="00EC4AE3">
              <w:rPr>
                <w:rFonts w:ascii="Times New Roman" w:eastAsiaTheme="minorEastAsia" w:hAnsi="Times New Roman" w:cs="Times New Roman"/>
                <w:b/>
                <w:bCs/>
                <w:lang w:val="en-US" w:eastAsia="zh-CN"/>
              </w:rPr>
              <w:t>i</w:t>
            </w:r>
            <w:r w:rsidRPr="00EC4AE3">
              <w:rPr>
                <w:rFonts w:ascii="Times New Roman" w:eastAsiaTheme="minorEastAsia" w:hAnsi="Times New Roman" w:cs="Times New Roman"/>
                <w:b/>
                <w:bCs/>
                <w:lang w:eastAsia="zh-CN"/>
              </w:rPr>
              <w:t>d</w:t>
            </w:r>
            <w:r w:rsidRPr="00EC4AE3">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eastAsia="zh-CN"/>
              </w:rPr>
              <w:t>r</w:t>
            </w:r>
            <w:r w:rsidRPr="00EC4AE3">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eastAsia="zh-CN"/>
              </w:rPr>
              <w:t>a</w:t>
            </w:r>
            <w:r w:rsidR="003847B5" w:rsidRPr="00EC4AE3">
              <w:rPr>
                <w:rFonts w:ascii="Times New Roman" w:eastAsiaTheme="minorEastAsia" w:hAnsi="Times New Roman" w:cs="Times New Roman"/>
                <w:b/>
                <w:bCs/>
                <w:lang w:val="en-US" w:eastAsia="zh-CN"/>
              </w:rPr>
              <w:t>t</w:t>
            </w:r>
            <w:r w:rsidR="003847B5" w:rsidRPr="00EC4AE3">
              <w:rPr>
                <w:rFonts w:ascii="Times New Roman" w:eastAsiaTheme="minorEastAsia" w:hAnsi="Times New Roman" w:cs="Times New Roman"/>
                <w:b/>
                <w:bCs/>
                <w:lang w:eastAsia="zh-CN"/>
              </w:rPr>
              <w:t xml:space="preserve"> </w:t>
            </w:r>
            <w:r w:rsidR="003847B5" w:rsidRPr="00EC4AE3">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eastAsia="zh-CN"/>
              </w:rPr>
              <w:t>e</w:t>
            </w:r>
            <w:r w:rsidR="003847B5" w:rsidRPr="00EC4AE3">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eastAsia="zh-CN"/>
              </w:rPr>
              <w:t>s</w:t>
            </w:r>
            <w:r w:rsidR="003847B5" w:rsidRPr="00EC4AE3">
              <w:rPr>
                <w:rFonts w:ascii="Times New Roman" w:eastAsiaTheme="minorEastAsia" w:hAnsi="Times New Roman" w:cs="Times New Roman"/>
                <w:b/>
                <w:bCs/>
                <w:lang w:val="en-US" w:eastAsia="zh-CN"/>
              </w:rPr>
              <w:t>t</w:t>
            </w:r>
            <w:r w:rsidR="003847B5" w:rsidRPr="00EC4AE3">
              <w:rPr>
                <w:rFonts w:ascii="Times New Roman" w:eastAsiaTheme="minorEastAsia" w:hAnsi="Times New Roman" w:cs="Times New Roman"/>
                <w:b/>
                <w:bCs/>
                <w:lang w:eastAsia="zh-CN"/>
              </w:rPr>
              <w:t xml:space="preserve"> </w:t>
            </w:r>
            <w:r w:rsidR="003847B5" w:rsidRPr="00EC4AE3">
              <w:rPr>
                <w:rFonts w:ascii="Times New Roman" w:eastAsiaTheme="minorEastAsia" w:hAnsi="Times New Roman" w:cs="Times New Roman"/>
                <w:b/>
                <w:bCs/>
                <w:lang w:val="en-US" w:eastAsia="zh-CN"/>
              </w:rPr>
              <w:t>t</w:t>
            </w:r>
            <w:r w:rsidR="003847B5" w:rsidRPr="00EC4AE3">
              <w:rPr>
                <w:rFonts w:ascii="Times New Roman" w:eastAsiaTheme="minorEastAsia" w:hAnsi="Times New Roman" w:cs="Times New Roman"/>
                <w:b/>
                <w:bCs/>
                <w:lang w:eastAsia="zh-CN"/>
              </w:rPr>
              <w:t>h</w:t>
            </w:r>
            <w:r w:rsidR="003847B5" w:rsidRPr="00EC4AE3">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eastAsia="zh-CN"/>
              </w:rPr>
              <w:t xml:space="preserve"> </w:t>
            </w:r>
            <w:r w:rsidR="003847B5" w:rsidRPr="00EC4AE3">
              <w:rPr>
                <w:rFonts w:ascii="Times New Roman" w:eastAsiaTheme="minorEastAsia" w:hAnsi="Times New Roman" w:cs="Times New Roman"/>
                <w:b/>
                <w:bCs/>
                <w:lang w:val="en-US" w:eastAsia="zh-CN"/>
              </w:rPr>
              <w:t>f</w:t>
            </w:r>
            <w:r w:rsidR="003847B5" w:rsidRPr="00EC4AE3">
              <w:rPr>
                <w:rFonts w:ascii="Times New Roman" w:eastAsiaTheme="minorEastAsia" w:hAnsi="Times New Roman" w:cs="Times New Roman"/>
                <w:b/>
                <w:bCs/>
                <w:lang w:eastAsia="zh-CN"/>
              </w:rPr>
              <w:t>o</w:t>
            </w:r>
            <w:r w:rsidR="003847B5" w:rsidRPr="00EC4AE3">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eastAsia="zh-CN"/>
              </w:rPr>
              <w:t>l</w:t>
            </w:r>
            <w:r w:rsidR="003847B5" w:rsidRPr="00EC4AE3">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eastAsia="zh-CN"/>
              </w:rPr>
              <w:t>w</w:t>
            </w:r>
            <w:r w:rsidR="003847B5" w:rsidRPr="00EC4AE3">
              <w:rPr>
                <w:rFonts w:ascii="Times New Roman" w:eastAsiaTheme="minorEastAsia" w:hAnsi="Times New Roman" w:cs="Times New Roman"/>
                <w:b/>
                <w:bCs/>
                <w:lang w:val="en-US" w:eastAsia="zh-CN"/>
              </w:rPr>
              <w:t>i</w:t>
            </w:r>
            <w:r w:rsidR="003847B5" w:rsidRPr="00EC4AE3">
              <w:rPr>
                <w:rFonts w:ascii="Times New Roman" w:eastAsiaTheme="minorEastAsia" w:hAnsi="Times New Roman" w:cs="Times New Roman"/>
                <w:b/>
                <w:bCs/>
                <w:lang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lastRenderedPageBreak/>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5"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5"/>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w:t>
            </w:r>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echniq</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r w:rsidR="00987FE5">
              <w:rPr>
                <w:rFonts w:ascii="Times New Roman" w:eastAsiaTheme="minorEastAsia" w:hAnsi="Times New Roman" w:cs="Times New Roman"/>
                <w:bCs/>
                <w:szCs w:val="18"/>
                <w:lang w:val="en-US" w:eastAsia="zh-CN"/>
              </w:rPr>
              <w:t>echniques</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6" w:name="OLE_LINK670"/>
      <w:r>
        <w:rPr>
          <w:rFonts w:ascii="Times New Roman" w:hAnsi="Times New Roman" w:cs="Times New Roman"/>
          <w:b/>
          <w:bCs/>
          <w:lang w:val="en-US" w:eastAsia="ja-JP"/>
        </w:rPr>
        <w:t>exchanged technical views</w:t>
      </w:r>
      <w:bookmarkEnd w:id="36"/>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r w:rsidRPr="00F37C2D">
              <w:rPr>
                <w:rFonts w:ascii="Times New Roman" w:eastAsia="SimSun" w:hAnsi="Times New Roman" w:cs="Times New Roman"/>
                <w:szCs w:val="18"/>
                <w:lang w:eastAsia="zh-CN"/>
              </w:rPr>
              <w:t>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7" w:name="OLE_LINK671"/>
            <w:r>
              <w:rPr>
                <w:rFonts w:ascii="Times New Roman" w:eastAsia="PMingLiU" w:hAnsi="Times New Roman" w:cs="Times New Roman"/>
                <w:szCs w:val="18"/>
                <w:lang w:val="en-US" w:eastAsia="zh-TW"/>
              </w:rPr>
              <w:t>derivation</w:t>
            </w:r>
            <w:bookmarkEnd w:id="37"/>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872535">
        <w:tc>
          <w:tcPr>
            <w:tcW w:w="1867" w:type="dxa"/>
          </w:tcPr>
          <w:p w14:paraId="3FCD6399" w14:textId="77777777" w:rsidR="001E7579" w:rsidRDefault="001E7579"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572B368" w14:textId="77777777" w:rsidR="001E7579" w:rsidRDefault="001E7579"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tr w:rsidR="00797238" w14:paraId="4A8400A1" w14:textId="77777777" w:rsidTr="00797238">
        <w:tc>
          <w:tcPr>
            <w:tcW w:w="1867" w:type="dxa"/>
            <w:shd w:val="clear" w:color="auto" w:fill="FFC000" w:themeFill="accent4"/>
          </w:tcPr>
          <w:p w14:paraId="10A0DD91" w14:textId="4879C88D" w:rsidR="00797238" w:rsidRDefault="00797238"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872535">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872535">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872535">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Down-priorotize:</w:t>
            </w:r>
          </w:p>
          <w:p w14:paraId="400FE513" w14:textId="1411DF39" w:rsidR="00B44BFC" w:rsidRPr="00B44BFC"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down-priorotize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lastRenderedPageBreak/>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down-priortized.</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8"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8"/>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9"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9"/>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0" w:name="OLE_LINK672"/>
            <w:r>
              <w:rPr>
                <w:rFonts w:ascii="Times New Roman" w:eastAsiaTheme="minorEastAsia" w:hAnsi="Times New Roman" w:cs="Times New Roman"/>
                <w:bCs/>
                <w:szCs w:val="18"/>
                <w:lang w:val="en-US" w:eastAsia="zh-CN"/>
              </w:rPr>
              <w:t>close the discussion and capture the scheme with results</w:t>
            </w:r>
            <w:bookmarkEnd w:id="40"/>
            <w:r>
              <w:rPr>
                <w:rFonts w:ascii="Times New Roman" w:eastAsiaTheme="minorEastAsia" w:hAnsi="Times New Roman" w:cs="Times New Roman"/>
                <w:bCs/>
                <w:szCs w:val="18"/>
                <w:lang w:val="en-US" w:eastAsia="zh-CN"/>
              </w:rPr>
              <w:t xml:space="preserve"> of capacity gain and observastions.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gNBs/TRPs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Instead of trying to obtain channel state information of interfering links and then determine precodings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The gNBs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evaluaton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expertisie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If the proponent wants to bring this scheme to RAN Plenary for WI desicion,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872535">
        <w:tc>
          <w:tcPr>
            <w:tcW w:w="1867" w:type="dxa"/>
          </w:tcPr>
          <w:p w14:paraId="1CF7467A" w14:textId="77777777" w:rsidR="0020559B" w:rsidRDefault="0020559B"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872535">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872535">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AB6F33" w:rsidRDefault="00AB6F33"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13DF0" w:rsidRDefault="008747CF"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7F7FDE" w:rsidRDefault="00513DF0"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EB7EA3" w:rsidRDefault="0079639D"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lastRenderedPageBreak/>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down-priortized</w:t>
            </w:r>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79639D" w:rsidRDefault="00EB7EA3" w:rsidP="00EB7EA3">
            <w:pPr>
              <w:pStyle w:val="ListParagraph"/>
              <w:ind w:left="360"/>
              <w:rPr>
                <w:rFonts w:ascii="Times New Roman" w:eastAsia="PMingLiU" w:hAnsi="Times New Roman" w:cs="Times New Roman"/>
                <w:szCs w:val="18"/>
                <w:lang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Fine with the moderator’s suggestion and suggest to to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1" w:name="OLE_LINK673"/>
            <w:r>
              <w:rPr>
                <w:rFonts w:ascii="Times New Roman" w:eastAsia="SimSun" w:hAnsi="Times New Roman" w:cs="Times New Roman"/>
                <w:szCs w:val="18"/>
                <w:lang w:val="en-US" w:eastAsia="zh-CN"/>
              </w:rPr>
              <w:t>moderator’s recommendation</w:t>
            </w:r>
            <w:bookmarkEnd w:id="4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Please, find our answers to the comments that were raised during the second and third round round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commnet. We suggerst to depriortize since it is not appropriate to re-open the issue which has been dropped in MIMO SI. For CBG handling, we think gNB is already able to consdier CBG during scehdulnig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analysed in our contribution, but also simulated. It would be at leat interesting to see that proponets do the same exercise. We clearly show that most of the users have high SINR. Therefore, no matter if one increases the targer BLER, higher MCS can be used without causing problem.  </w:t>
            </w:r>
          </w:p>
          <w:p w14:paraId="1168BC7D" w14:textId="77777777" w:rsidR="009248FA" w:rsidRDefault="009248FA" w:rsidP="00872535">
            <w:pPr>
              <w:rPr>
                <w:rFonts w:ascii="Times New Roman" w:eastAsia="PMingLiU" w:hAnsi="Times New Roman" w:cs="Times New Roman"/>
                <w:szCs w:val="18"/>
                <w:lang w:val="en-US" w:eastAsia="zh-TW"/>
              </w:rPr>
            </w:pPr>
          </w:p>
          <w:p w14:paraId="7A13CAEB" w14:textId="77777777" w:rsidR="009248FA" w:rsidRDefault="009248FA" w:rsidP="0087253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On P4-3-2, as proponet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872535">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 xml:space="preserve">own-priortize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F95B0E" w:rsidRDefault="00D00A35" w:rsidP="00875A36">
            <w:pPr>
              <w:pStyle w:val="ListParagraph"/>
              <w:numPr>
                <w:ilvl w:val="0"/>
                <w:numId w:val="111"/>
              </w:numPr>
              <w:rPr>
                <w:rFonts w:ascii="Times New Roman" w:eastAsia="PMingLiU" w:hAnsi="Times New Roman" w:cs="Times New Roman"/>
                <w:szCs w:val="18"/>
                <w:lang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down-priortized</w:t>
            </w:r>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872535">
            <w:pPr>
              <w:rPr>
                <w:rFonts w:ascii="Times New Roman" w:eastAsia="PMingLiU" w:hAnsi="Times New Roman" w:cs="Times New Roman"/>
                <w:szCs w:val="18"/>
                <w:lang w:val="en-US" w:eastAsia="zh-CN"/>
              </w:rPr>
            </w:pP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propoents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w:t>
            </w:r>
            <w:r>
              <w:rPr>
                <w:rFonts w:ascii="Times New Roman" w:eastAsiaTheme="minorEastAsia" w:hAnsi="Times New Roman" w:cs="Times New Roman"/>
                <w:bCs/>
                <w:szCs w:val="18"/>
                <w:lang w:val="en-US" w:eastAsia="zh-CN"/>
              </w:rPr>
              <w:lastRenderedPageBreak/>
              <w:t xml:space="preserve">from RAN side for Rel-18 SI). RAN1 should refrain from venturing judgment on matters outside our expertise. Of course, to acknowledge companies’ hardwork,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To summarice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4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4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So, RAN4 should be consulted on 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in favor of this enhancement. Quesitons were raised on scenarios and impact on other WGs. The proponenets have provided clarifications on scenarios, and impact on other WG. There are still comments that the proponets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reuseing some of the MG can of course improve performance. </w:t>
            </w:r>
            <w:bookmarkStart w:id="4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impact to RRM </w:t>
            </w:r>
            <w:r>
              <w:rPr>
                <w:rFonts w:ascii="Times New Roman" w:hAnsi="Times New Roman" w:cs="Times New Roman"/>
                <w:szCs w:val="18"/>
                <w:lang w:val="en-US" w:eastAsia="ja-JP"/>
              </w:rPr>
              <w:lastRenderedPageBreak/>
              <w:t>measurement need to be answered and RAN2 and RAN4 may need to get involved. Overall, we do not agree to prioritize this enhancement for XR capacity improvement.</w:t>
            </w:r>
            <w:bookmarkEnd w:id="4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this.We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6" w:name="OLE_LINK679"/>
            <w:r>
              <w:rPr>
                <w:rFonts w:ascii="Times New Roman" w:eastAsia="PMingLiU" w:hAnsi="Times New Roman" w:cs="Times New Roman"/>
                <w:szCs w:val="18"/>
                <w:lang w:val="en-US" w:eastAsia="zh-TW"/>
              </w:rPr>
              <w:t>In our contribution R1-2209518,</w:t>
            </w:r>
            <w:bookmarkEnd w:id="46"/>
            <w:r>
              <w:rPr>
                <w:rFonts w:ascii="Times New Roman" w:eastAsia="PMingLiU" w:hAnsi="Times New Roman" w:cs="Times New Roman"/>
                <w:szCs w:val="18"/>
                <w:lang w:val="en-US" w:eastAsia="zh-TW"/>
              </w:rPr>
              <w:t xml:space="preserve"> we showed that for Rel-15 mandatort </w:t>
            </w:r>
            <w:bookmarkStart w:id="47" w:name="OLE_LINK677"/>
            <w:r>
              <w:rPr>
                <w:rFonts w:ascii="Times New Roman" w:eastAsia="PMingLiU" w:hAnsi="Times New Roman" w:cs="Times New Roman"/>
                <w:szCs w:val="18"/>
                <w:lang w:val="en-US" w:eastAsia="zh-TW"/>
              </w:rPr>
              <w:t>MG pattern 0</w:t>
            </w:r>
            <w:bookmarkEnd w:id="47"/>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lastRenderedPageBreak/>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8" w:name="OLE_LINK681"/>
            <w:r w:rsidR="003C58C0" w:rsidRPr="000F1E88">
              <w:rPr>
                <w:rFonts w:ascii="Times New Roman" w:hAnsi="Times New Roman" w:cs="Times New Roman"/>
                <w:szCs w:val="18"/>
                <w:lang w:val="en-US" w:eastAsia="ja-JP"/>
              </w:rPr>
              <w:t>impact to RRM measurement</w:t>
            </w:r>
            <w:bookmarkEnd w:id="4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872535">
        <w:tc>
          <w:tcPr>
            <w:tcW w:w="1867" w:type="dxa"/>
          </w:tcPr>
          <w:p w14:paraId="7FC27FEC" w14:textId="4C76A784" w:rsidR="00C610B4" w:rsidRPr="000E70C6" w:rsidRDefault="00C610B4"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872535">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872535">
            <w:pPr>
              <w:rPr>
                <w:rFonts w:ascii="Times New Roman" w:eastAsia="SimSun" w:hAnsi="Times New Roman" w:cs="Times New Roman"/>
                <w:b/>
                <w:bCs/>
                <w:szCs w:val="18"/>
                <w:u w:val="single"/>
                <w:lang w:val="en-US" w:eastAsia="zh-CN"/>
              </w:rPr>
            </w:pPr>
            <w:r w:rsidRPr="001532F8">
              <w:rPr>
                <w:rFonts w:ascii="Times New Roman" w:eastAsia="SimSun" w:hAnsi="Times New Roman" w:cs="Times New Roman"/>
                <w:b/>
                <w:bCs/>
                <w:szCs w:val="18"/>
                <w:u w:val="single"/>
                <w:lang w:val="en-US" w:eastAsia="zh-CN"/>
              </w:rPr>
              <w:t>Summart of views:</w:t>
            </w:r>
          </w:p>
          <w:p w14:paraId="3856AC94" w14:textId="6216FA90" w:rsidR="001532F8" w:rsidRDefault="00937F3A"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HW/HiSi</w:t>
            </w:r>
            <w:r w:rsidR="00811481">
              <w:rPr>
                <w:rFonts w:ascii="Times New Roman" w:eastAsia="SimSun" w:hAnsi="Times New Roman" w:cs="Times New Roman"/>
                <w:szCs w:val="18"/>
                <w:lang w:val="en-US" w:eastAsia="zh-CN"/>
              </w:rPr>
              <w:t>, Ericsson</w:t>
            </w:r>
          </w:p>
          <w:p w14:paraId="5B511791" w14:textId="58F0EC56" w:rsidR="0045561B" w:rsidRDefault="00811481"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e of scenario, as well as configuraitons. Also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872535">
            <w:pPr>
              <w:rPr>
                <w:rFonts w:ascii="Times New Roman" w:eastAsia="SimSun" w:hAnsi="Times New Roman" w:cs="Times New Roman"/>
                <w:szCs w:val="18"/>
                <w:lang w:val="en-US" w:eastAsia="zh-CN"/>
              </w:rPr>
            </w:pPr>
          </w:p>
          <w:p w14:paraId="1BE493AF" w14:textId="522770B4" w:rsidR="001C22EB" w:rsidRDefault="001C22EB" w:rsidP="0087253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to consider this study for next meeting and </w:t>
            </w:r>
            <w:r w:rsidR="00191A22">
              <w:rPr>
                <w:rFonts w:ascii="Times New Roman" w:eastAsia="SimSun" w:hAnsi="Times New Roman" w:cs="Times New Roman"/>
                <w:szCs w:val="18"/>
                <w:lang w:val="en-US" w:eastAsia="zh-CN"/>
              </w:rPr>
              <w:t xml:space="preserve">at least </w:t>
            </w:r>
            <w:r>
              <w:rPr>
                <w:rFonts w:ascii="Times New Roman" w:eastAsia="SimSun" w:hAnsi="Times New Roman" w:cs="Times New Roman"/>
                <w:szCs w:val="18"/>
                <w:lang w:val="en-US" w:eastAsia="zh-CN"/>
              </w:rPr>
              <w:t xml:space="preserve">proponets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872535">
            <w:pPr>
              <w:rPr>
                <w:rFonts w:ascii="Times New Roman" w:eastAsia="SimSun" w:hAnsi="Times New Roman" w:cs="Times New Roman"/>
                <w:szCs w:val="18"/>
                <w:lang w:val="en-US" w:eastAsia="zh-CN"/>
              </w:rPr>
            </w:pPr>
          </w:p>
          <w:p w14:paraId="0BFB1AC1" w14:textId="54CE06CF" w:rsidR="002015DE" w:rsidRPr="00EC793B" w:rsidRDefault="002015DE" w:rsidP="00872535">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nhancements on RRM to relax scheduling restcition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lastRenderedPageBreak/>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872535">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3B15F7">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3B15F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B995" w14:textId="77777777" w:rsidR="00E26C7A" w:rsidRDefault="00E26C7A">
      <w:pPr>
        <w:spacing w:line="240" w:lineRule="auto"/>
      </w:pPr>
      <w:r>
        <w:separator/>
      </w:r>
    </w:p>
  </w:endnote>
  <w:endnote w:type="continuationSeparator" w:id="0">
    <w:p w14:paraId="0740DE4E" w14:textId="77777777" w:rsidR="00E26C7A" w:rsidRDefault="00E26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450AEC" w:rsidRDefault="00450A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57FF">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7FF">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9A15" w14:textId="77777777" w:rsidR="00E26C7A" w:rsidRDefault="00E26C7A">
      <w:pPr>
        <w:spacing w:after="0"/>
      </w:pPr>
      <w:r>
        <w:separator/>
      </w:r>
    </w:p>
  </w:footnote>
  <w:footnote w:type="continuationSeparator" w:id="0">
    <w:p w14:paraId="76E9AD42" w14:textId="77777777" w:rsidR="00E26C7A" w:rsidRDefault="00E26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450AEC" w:rsidRDefault="00450A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713748">
    <w:abstractNumId w:val="85"/>
  </w:num>
  <w:num w:numId="2" w16cid:durableId="453642110">
    <w:abstractNumId w:val="32"/>
  </w:num>
  <w:num w:numId="3" w16cid:durableId="516114245">
    <w:abstractNumId w:val="39"/>
  </w:num>
  <w:num w:numId="4" w16cid:durableId="1196891806">
    <w:abstractNumId w:val="18"/>
  </w:num>
  <w:num w:numId="5" w16cid:durableId="600264636">
    <w:abstractNumId w:val="102"/>
  </w:num>
  <w:num w:numId="6" w16cid:durableId="1263731842">
    <w:abstractNumId w:val="47"/>
  </w:num>
  <w:num w:numId="7" w16cid:durableId="36048092">
    <w:abstractNumId w:val="98"/>
  </w:num>
  <w:num w:numId="8" w16cid:durableId="287131492">
    <w:abstractNumId w:val="4"/>
  </w:num>
  <w:num w:numId="9" w16cid:durableId="1832326804">
    <w:abstractNumId w:val="68"/>
  </w:num>
  <w:num w:numId="10" w16cid:durableId="1105808579">
    <w:abstractNumId w:val="53"/>
  </w:num>
  <w:num w:numId="11" w16cid:durableId="1105730752">
    <w:abstractNumId w:val="75"/>
  </w:num>
  <w:num w:numId="12" w16cid:durableId="501511021">
    <w:abstractNumId w:val="77"/>
  </w:num>
  <w:num w:numId="13" w16cid:durableId="298849347">
    <w:abstractNumId w:val="58"/>
  </w:num>
  <w:num w:numId="14" w16cid:durableId="1025325268">
    <w:abstractNumId w:val="99"/>
  </w:num>
  <w:num w:numId="15" w16cid:durableId="1349211748">
    <w:abstractNumId w:val="5"/>
  </w:num>
  <w:num w:numId="16" w16cid:durableId="1087727058">
    <w:abstractNumId w:val="67"/>
  </w:num>
  <w:num w:numId="17" w16cid:durableId="147116989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917052">
    <w:abstractNumId w:val="87"/>
  </w:num>
  <w:num w:numId="19" w16cid:durableId="735782081">
    <w:abstractNumId w:val="1"/>
  </w:num>
  <w:num w:numId="20" w16cid:durableId="1132357894">
    <w:abstractNumId w:val="2"/>
  </w:num>
  <w:num w:numId="21" w16cid:durableId="477499895">
    <w:abstractNumId w:val="52"/>
  </w:num>
  <w:num w:numId="22" w16cid:durableId="583683868">
    <w:abstractNumId w:val="41"/>
  </w:num>
  <w:num w:numId="23" w16cid:durableId="2058041083">
    <w:abstractNumId w:val="80"/>
  </w:num>
  <w:num w:numId="24" w16cid:durableId="1215120205">
    <w:abstractNumId w:val="78"/>
  </w:num>
  <w:num w:numId="25" w16cid:durableId="1515145566">
    <w:abstractNumId w:val="11"/>
  </w:num>
  <w:num w:numId="26" w16cid:durableId="169102917">
    <w:abstractNumId w:val="65"/>
  </w:num>
  <w:num w:numId="27" w16cid:durableId="166798711">
    <w:abstractNumId w:val="109"/>
  </w:num>
  <w:num w:numId="28" w16cid:durableId="1963228779">
    <w:abstractNumId w:val="50"/>
  </w:num>
  <w:num w:numId="29" w16cid:durableId="1405833748">
    <w:abstractNumId w:val="100"/>
  </w:num>
  <w:num w:numId="30" w16cid:durableId="691609994">
    <w:abstractNumId w:val="59"/>
  </w:num>
  <w:num w:numId="31" w16cid:durableId="665599672">
    <w:abstractNumId w:val="23"/>
  </w:num>
  <w:num w:numId="32" w16cid:durableId="1577783610">
    <w:abstractNumId w:val="54"/>
  </w:num>
  <w:num w:numId="33" w16cid:durableId="44643062">
    <w:abstractNumId w:val="19"/>
  </w:num>
  <w:num w:numId="34" w16cid:durableId="616760232">
    <w:abstractNumId w:val="45"/>
  </w:num>
  <w:num w:numId="35" w16cid:durableId="524245196">
    <w:abstractNumId w:val="63"/>
  </w:num>
  <w:num w:numId="36" w16cid:durableId="914709803">
    <w:abstractNumId w:val="92"/>
  </w:num>
  <w:num w:numId="37" w16cid:durableId="778529876">
    <w:abstractNumId w:val="90"/>
  </w:num>
  <w:num w:numId="38" w16cid:durableId="1738434905">
    <w:abstractNumId w:val="60"/>
  </w:num>
  <w:num w:numId="39" w16cid:durableId="461269106">
    <w:abstractNumId w:val="27"/>
  </w:num>
  <w:num w:numId="40" w16cid:durableId="1014453776">
    <w:abstractNumId w:val="66"/>
  </w:num>
  <w:num w:numId="41" w16cid:durableId="341053631">
    <w:abstractNumId w:val="28"/>
  </w:num>
  <w:num w:numId="42" w16cid:durableId="579947916">
    <w:abstractNumId w:val="6"/>
  </w:num>
  <w:num w:numId="43" w16cid:durableId="1863400056">
    <w:abstractNumId w:val="57"/>
  </w:num>
  <w:num w:numId="44" w16cid:durableId="1273394922">
    <w:abstractNumId w:val="43"/>
  </w:num>
  <w:num w:numId="45" w16cid:durableId="990334516">
    <w:abstractNumId w:val="88"/>
  </w:num>
  <w:num w:numId="46" w16cid:durableId="1958637004">
    <w:abstractNumId w:val="91"/>
  </w:num>
  <w:num w:numId="47" w16cid:durableId="1053113023">
    <w:abstractNumId w:val="16"/>
  </w:num>
  <w:num w:numId="48" w16cid:durableId="1119376798">
    <w:abstractNumId w:val="79"/>
  </w:num>
  <w:num w:numId="49" w16cid:durableId="1912234472">
    <w:abstractNumId w:val="35"/>
  </w:num>
  <w:num w:numId="50" w16cid:durableId="1667587687">
    <w:abstractNumId w:val="3"/>
  </w:num>
  <w:num w:numId="51" w16cid:durableId="1758014691">
    <w:abstractNumId w:val="0"/>
  </w:num>
  <w:num w:numId="52" w16cid:durableId="1646279250">
    <w:abstractNumId w:val="26"/>
  </w:num>
  <w:num w:numId="53" w16cid:durableId="2586173">
    <w:abstractNumId w:val="38"/>
  </w:num>
  <w:num w:numId="54" w16cid:durableId="1441295885">
    <w:abstractNumId w:val="29"/>
  </w:num>
  <w:num w:numId="55" w16cid:durableId="532184151">
    <w:abstractNumId w:val="17"/>
  </w:num>
  <w:num w:numId="56" w16cid:durableId="85274186">
    <w:abstractNumId w:val="20"/>
  </w:num>
  <w:num w:numId="57" w16cid:durableId="2089767140">
    <w:abstractNumId w:val="25"/>
  </w:num>
  <w:num w:numId="58" w16cid:durableId="1270239298">
    <w:abstractNumId w:val="108"/>
  </w:num>
  <w:num w:numId="59" w16cid:durableId="1091387430">
    <w:abstractNumId w:val="106"/>
  </w:num>
  <w:num w:numId="60" w16cid:durableId="432744924">
    <w:abstractNumId w:val="86"/>
  </w:num>
  <w:num w:numId="61" w16cid:durableId="945161640">
    <w:abstractNumId w:val="69"/>
  </w:num>
  <w:num w:numId="62" w16cid:durableId="463305273">
    <w:abstractNumId w:val="94"/>
  </w:num>
  <w:num w:numId="63" w16cid:durableId="411393120">
    <w:abstractNumId w:val="15"/>
  </w:num>
  <w:num w:numId="64" w16cid:durableId="1721201440">
    <w:abstractNumId w:val="103"/>
  </w:num>
  <w:num w:numId="65" w16cid:durableId="96802758">
    <w:abstractNumId w:val="97"/>
  </w:num>
  <w:num w:numId="66" w16cid:durableId="264002846">
    <w:abstractNumId w:val="12"/>
  </w:num>
  <w:num w:numId="67" w16cid:durableId="569730410">
    <w:abstractNumId w:val="49"/>
  </w:num>
  <w:num w:numId="68" w16cid:durableId="2064481024">
    <w:abstractNumId w:val="71"/>
  </w:num>
  <w:num w:numId="69" w16cid:durableId="550575899">
    <w:abstractNumId w:val="64"/>
  </w:num>
  <w:num w:numId="70" w16cid:durableId="165101009">
    <w:abstractNumId w:val="95"/>
  </w:num>
  <w:num w:numId="71" w16cid:durableId="2116172059">
    <w:abstractNumId w:val="104"/>
  </w:num>
  <w:num w:numId="72" w16cid:durableId="277756041">
    <w:abstractNumId w:val="84"/>
  </w:num>
  <w:num w:numId="73" w16cid:durableId="853693117">
    <w:abstractNumId w:val="30"/>
  </w:num>
  <w:num w:numId="74" w16cid:durableId="241454779">
    <w:abstractNumId w:val="74"/>
  </w:num>
  <w:num w:numId="75" w16cid:durableId="1604528574">
    <w:abstractNumId w:val="96"/>
  </w:num>
  <w:num w:numId="76" w16cid:durableId="497965556">
    <w:abstractNumId w:val="21"/>
  </w:num>
  <w:num w:numId="77" w16cid:durableId="1685866116">
    <w:abstractNumId w:val="107"/>
  </w:num>
  <w:num w:numId="78" w16cid:durableId="1882283928">
    <w:abstractNumId w:val="73"/>
  </w:num>
  <w:num w:numId="79" w16cid:durableId="543567857">
    <w:abstractNumId w:val="34"/>
  </w:num>
  <w:num w:numId="80" w16cid:durableId="313262162">
    <w:abstractNumId w:val="14"/>
  </w:num>
  <w:num w:numId="81" w16cid:durableId="1410544103">
    <w:abstractNumId w:val="105"/>
  </w:num>
  <w:num w:numId="82" w16cid:durableId="1561938327">
    <w:abstractNumId w:val="56"/>
  </w:num>
  <w:num w:numId="83" w16cid:durableId="735904651">
    <w:abstractNumId w:val="46"/>
  </w:num>
  <w:num w:numId="84" w16cid:durableId="1039741047">
    <w:abstractNumId w:val="55"/>
  </w:num>
  <w:num w:numId="85" w16cid:durableId="1212691633">
    <w:abstractNumId w:val="36"/>
  </w:num>
  <w:num w:numId="86" w16cid:durableId="2012022794">
    <w:abstractNumId w:val="7"/>
  </w:num>
  <w:num w:numId="87" w16cid:durableId="1469200021">
    <w:abstractNumId w:val="83"/>
  </w:num>
  <w:num w:numId="88" w16cid:durableId="2071877332">
    <w:abstractNumId w:val="72"/>
  </w:num>
  <w:num w:numId="89" w16cid:durableId="787546648">
    <w:abstractNumId w:val="93"/>
  </w:num>
  <w:num w:numId="90" w16cid:durableId="1903172091">
    <w:abstractNumId w:val="112"/>
  </w:num>
  <w:num w:numId="91" w16cid:durableId="1346513404">
    <w:abstractNumId w:val="13"/>
  </w:num>
  <w:num w:numId="92" w16cid:durableId="1852839515">
    <w:abstractNumId w:val="44"/>
  </w:num>
  <w:num w:numId="93" w16cid:durableId="1963416485">
    <w:abstractNumId w:val="10"/>
  </w:num>
  <w:num w:numId="94" w16cid:durableId="1823037484">
    <w:abstractNumId w:val="70"/>
  </w:num>
  <w:num w:numId="95" w16cid:durableId="302078923">
    <w:abstractNumId w:val="9"/>
  </w:num>
  <w:num w:numId="96" w16cid:durableId="1413433292">
    <w:abstractNumId w:val="111"/>
  </w:num>
  <w:num w:numId="97" w16cid:durableId="1964724622">
    <w:abstractNumId w:val="61"/>
  </w:num>
  <w:num w:numId="98" w16cid:durableId="2090619313">
    <w:abstractNumId w:val="8"/>
  </w:num>
  <w:num w:numId="99" w16cid:durableId="572856744">
    <w:abstractNumId w:val="81"/>
  </w:num>
  <w:num w:numId="100" w16cid:durableId="359936047">
    <w:abstractNumId w:val="110"/>
  </w:num>
  <w:num w:numId="101" w16cid:durableId="1857495372">
    <w:abstractNumId w:val="110"/>
  </w:num>
  <w:num w:numId="102" w16cid:durableId="1106190526">
    <w:abstractNumId w:val="37"/>
  </w:num>
  <w:num w:numId="103" w16cid:durableId="822310619">
    <w:abstractNumId w:val="42"/>
  </w:num>
  <w:num w:numId="104" w16cid:durableId="1390835550">
    <w:abstractNumId w:val="33"/>
  </w:num>
  <w:num w:numId="105" w16cid:durableId="1036613571">
    <w:abstractNumId w:val="40"/>
  </w:num>
  <w:num w:numId="106" w16cid:durableId="1168442624">
    <w:abstractNumId w:val="82"/>
  </w:num>
  <w:num w:numId="107" w16cid:durableId="788361016">
    <w:abstractNumId w:val="62"/>
  </w:num>
  <w:num w:numId="108" w16cid:durableId="483358474">
    <w:abstractNumId w:val="76"/>
  </w:num>
  <w:num w:numId="109" w16cid:durableId="767820110">
    <w:abstractNumId w:val="22"/>
  </w:num>
  <w:num w:numId="110" w16cid:durableId="1712732465">
    <w:abstractNumId w:val="101"/>
  </w:num>
  <w:num w:numId="111" w16cid:durableId="236480635">
    <w:abstractNumId w:val="31"/>
  </w:num>
  <w:num w:numId="112" w16cid:durableId="1965425976">
    <w:abstractNumId w:val="89"/>
  </w:num>
  <w:num w:numId="113" w16cid:durableId="1848521169">
    <w:abstractNumId w:val="51"/>
  </w:num>
  <w:num w:numId="114" w16cid:durableId="393310080">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757-7CD9-4133-9038-FD8B919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124</Pages>
  <Words>43741</Words>
  <Characters>249327</Characters>
  <Application>Microsoft Office Word</Application>
  <DocSecurity>0</DocSecurity>
  <Lines>2077</Lines>
  <Paragraphs>584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Weidong Yang</cp:lastModifiedBy>
  <cp:revision>336</cp:revision>
  <cp:lastPrinted>2008-01-30T13:09:00Z</cp:lastPrinted>
  <dcterms:created xsi:type="dcterms:W3CDTF">2022-10-17T15:31:00Z</dcterms:created>
  <dcterms:modified xsi:type="dcterms:W3CDTF">2022-10-18T00:44:00Z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