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sidR="00FF62C9">
              <w:rPr>
                <w:rFonts w:ascii="Times New Roman" w:eastAsiaTheme="minorEastAsia" w:hAnsi="Times New Roman" w:cs="Times New Roman" w:hint="eastAsia"/>
                <w:bCs/>
                <w:szCs w:val="18"/>
                <w:lang w:val="en-US" w:eastAsia="zh-CN"/>
              </w:rPr>
              <w:t>eCG</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 xml:space="preserve">We’d like to have </w:t>
            </w:r>
            <w:proofErr w:type="gramStart"/>
            <w:r w:rsidRPr="00EB4253">
              <w:rPr>
                <w:rFonts w:ascii="Times New Roman" w:hAnsi="Times New Roman" w:cs="Times New Roman"/>
                <w:bCs/>
                <w:lang w:val="en-US" w:eastAsia="ja-JP"/>
              </w:rPr>
              <w:t>following</w:t>
            </w:r>
            <w:proofErr w:type="gramEnd"/>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w:t>
            </w:r>
            <w:proofErr w:type="spellStart"/>
            <w:r w:rsidR="00B813EE">
              <w:rPr>
                <w:rFonts w:ascii="Times New Roman" w:eastAsia="SimSun" w:hAnsi="Times New Roman" w:cs="Times New Roman"/>
                <w:szCs w:val="18"/>
                <w:lang w:val="en-US" w:eastAsia="zh-CN"/>
              </w:rPr>
              <w:t>eCG</w:t>
            </w:r>
            <w:proofErr w:type="spellEnd"/>
            <w:r w:rsidR="00B813EE">
              <w:rPr>
                <w:rFonts w:ascii="Times New Roman" w:eastAsia="SimSun" w:hAnsi="Times New Roman" w:cs="Times New Roman"/>
                <w:szCs w:val="18"/>
                <w:lang w:val="en-US" w:eastAsia="zh-CN"/>
              </w:rPr>
              <w:t xml:space="preserve"> to explain how link adaptation is performed and, if it is, the corresponding benefits over DG.</w:t>
            </w:r>
            <w:r>
              <w:rPr>
                <w:rFonts w:ascii="Times New Roman" w:eastAsia="SimSun" w:hAnsi="Times New Roman" w:cs="Times New Roman"/>
                <w:szCs w:val="18"/>
                <w:lang w:val="en-US" w:eastAsia="zh-CN"/>
              </w:rPr>
              <w:t xml:space="preserve">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w:t>
            </w:r>
            <w:proofErr w:type="spellStart"/>
            <w:r w:rsidR="002F506D">
              <w:rPr>
                <w:rFonts w:ascii="Times New Roman" w:eastAsia="SimSun" w:hAnsi="Times New Roman" w:cs="Times New Roman"/>
                <w:szCs w:val="18"/>
                <w:lang w:val="en-US" w:eastAsia="zh-TW"/>
              </w:rPr>
              <w:t>eCG</w:t>
            </w:r>
            <w:proofErr w:type="spellEnd"/>
            <w:r w:rsidR="002F506D">
              <w:rPr>
                <w:rFonts w:ascii="Times New Roman" w:eastAsia="SimSun" w:hAnsi="Times New Roman" w:cs="Times New Roman"/>
                <w:szCs w:val="18"/>
                <w:lang w:val="en-US" w:eastAsia="zh-TW"/>
              </w:rPr>
              <w:t xml:space="preserve">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w:t>
            </w:r>
            <w:r>
              <w:rPr>
                <w:rFonts w:ascii="Times New Roman" w:eastAsia="SimSun" w:hAnsi="Times New Roman" w:cs="Times New Roman"/>
                <w:szCs w:val="18"/>
                <w:lang w:val="en-US" w:eastAsia="zh-TW"/>
              </w:rPr>
              <w:lastRenderedPageBreak/>
              <w:t xml:space="preserve">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w:t>
            </w:r>
            <w:proofErr w:type="spellStart"/>
            <w:r w:rsidR="00262932">
              <w:rPr>
                <w:rFonts w:ascii="Times New Roman" w:eastAsia="SimSun" w:hAnsi="Times New Roman" w:cs="Times New Roman"/>
                <w:szCs w:val="18"/>
                <w:lang w:val="en-US" w:eastAsia="zh-TW"/>
              </w:rPr>
              <w:t>eCG</w:t>
            </w:r>
            <w:proofErr w:type="spellEnd"/>
            <w:r w:rsidR="00262932">
              <w:rPr>
                <w:rFonts w:ascii="Times New Roman" w:eastAsia="SimSun" w:hAnsi="Times New Roman" w:cs="Times New Roman"/>
                <w:szCs w:val="18"/>
                <w:lang w:val="en-US" w:eastAsia="zh-TW"/>
              </w:rPr>
              <w:t>”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w:t>
            </w:r>
            <w:r w:rsidRPr="003C63F4">
              <w:rPr>
                <w:rFonts w:ascii="Times New Roman" w:hAnsi="Times New Roman" w:cs="Times New Roman"/>
                <w:szCs w:val="18"/>
                <w:lang w:val="en-US" w:eastAsia="ja-JP"/>
              </w:rPr>
              <w:lastRenderedPageBreak/>
              <w:t>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w:t>
            </w:r>
            <w:r>
              <w:rPr>
                <w:rFonts w:ascii="Times New Roman" w:eastAsia="SimSun" w:hAnsi="Times New Roman" w:cs="Times New Roman"/>
                <w:szCs w:val="18"/>
                <w:lang w:val="en-US" w:eastAsia="zh-CN"/>
              </w:rPr>
              <w:lastRenderedPageBreak/>
              <w:t xml:space="preserve">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enhancementsfor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lastRenderedPageBreak/>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w:t>
            </w:r>
            <w:r>
              <w:rPr>
                <w:rFonts w:ascii="Times New Roman" w:eastAsiaTheme="minorEastAsia" w:hAnsi="Times New Roman" w:cs="Times New Roman"/>
                <w:bCs/>
                <w:szCs w:val="18"/>
                <w:lang w:val="en-US" w:eastAsia="zh-CN"/>
              </w:rPr>
              <w:lastRenderedPageBreak/>
              <w:t>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lastRenderedPageBreak/>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4C3B7409" w14:textId="77777777" w:rsidR="00FC74E7" w:rsidRDefault="00FC74E7" w:rsidP="00FC74E7">
            <w:pPr>
              <w:pStyle w:val="ListParagraph"/>
            </w:pPr>
            <w:r>
              <w:rPr>
                <w:noProof/>
                <w:lang w:val="en-US" w:eastAsia="zh-TW"/>
              </w:rPr>
              <w:lastRenderedPageBreak/>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 xml:space="preserve">addition,  </w:t>
            </w:r>
            <w:r>
              <w:rPr>
                <w:rFonts w:ascii="Times New Roman" w:hAnsi="Times New Roman" w:cs="Times New Roman"/>
                <w:szCs w:val="18"/>
                <w:lang w:val="en-US" w:eastAsia="ja-JP"/>
              </w:rPr>
              <w:lastRenderedPageBreak/>
              <w:t>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It can be discussed how often such events/measurement occur in typical situations, and whether XR data transmission is important or e.g., inter-frequency measurement (e.g., for cell-edge UEs) also whether communication is restricted in all symbols or e.g., just within </w:t>
            </w:r>
            <w:r>
              <w:rPr>
                <w:rFonts w:ascii="Times New Roman" w:hAnsi="Times New Roman" w:cs="Times New Roman"/>
                <w:szCs w:val="18"/>
                <w:lang w:val="en-US" w:eastAsia="ja-JP"/>
              </w:rPr>
              <w:lastRenderedPageBreak/>
              <w:t>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DA733F">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FF62C9">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FF62C9">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E814B4" w14:paraId="3F8855C0" w14:textId="77777777" w:rsidTr="00FF62C9">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FF62C9">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7818D838" w:rsidR="00983A53" w:rsidRPr="00931895" w:rsidRDefault="00983A53" w:rsidP="00931895">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is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931895">
              <w:rPr>
                <w:i/>
              </w:rPr>
              <w:t>SSB-ToMeasure</w:t>
            </w:r>
            <w:r w:rsidRPr="00931895">
              <w:rPr>
                <w:rFonts w:ascii="Times New Roman" w:eastAsia="SimSun" w:hAnsi="Times New Roman" w:cs="Times New Roman"/>
                <w:szCs w:val="18"/>
                <w:lang w:val="en-US" w:eastAsia="zh-CN"/>
              </w:rPr>
              <w:t xml:space="preserve">”). So, RAN4 should be consulted on </w:t>
            </w:r>
            <w:r w:rsidRPr="00931895">
              <w:rPr>
                <w:rFonts w:ascii="Times New Roman" w:eastAsia="SimSun" w:hAnsi="Times New Roman" w:cs="Times New Roman"/>
                <w:szCs w:val="18"/>
                <w:lang w:val="en-US" w:eastAsia="zh-CN"/>
              </w:rPr>
              <w:lastRenderedPageBreak/>
              <w:t>typical scenarios/</w:t>
            </w:r>
            <w:r w:rsidRPr="00931895">
              <w:rPr>
                <w:i/>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According to 38.133 clause 9.2.5.3.1:</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77777777"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704182">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w:t>
            </w:r>
          </w:p>
        </w:tc>
        <w:tc>
          <w:tcPr>
            <w:tcW w:w="1418" w:type="dxa"/>
            <w:shd w:val="clear" w:color="auto" w:fill="auto"/>
          </w:tcPr>
          <w:p w14:paraId="2D3DDFCA" w14:textId="77777777" w:rsidR="002C6A8E" w:rsidRDefault="00704182">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704182">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704182">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704182">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704182">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704182">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704182">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704182">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704182">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704182">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704182">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704182">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704182">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704182">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704182">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704182">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704182">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704182">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704182">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704182">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704182">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704182">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704182">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704182">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E9FE" w14:textId="77777777" w:rsidR="007124B0" w:rsidRDefault="007124B0">
      <w:pPr>
        <w:spacing w:line="240" w:lineRule="auto"/>
      </w:pPr>
      <w:r>
        <w:separator/>
      </w:r>
    </w:p>
  </w:endnote>
  <w:endnote w:type="continuationSeparator" w:id="0">
    <w:p w14:paraId="4F16AA15" w14:textId="77777777" w:rsidR="007124B0" w:rsidRDefault="00712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67AB" w14:textId="77777777" w:rsidR="007124B0" w:rsidRDefault="007124B0">
      <w:pPr>
        <w:spacing w:after="0"/>
      </w:pPr>
      <w:r>
        <w:separator/>
      </w:r>
    </w:p>
  </w:footnote>
  <w:footnote w:type="continuationSeparator" w:id="0">
    <w:p w14:paraId="06E59281" w14:textId="77777777" w:rsidR="007124B0" w:rsidRDefault="00712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9"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3"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2"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5"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25"/>
  </w:num>
  <w:num w:numId="3">
    <w:abstractNumId w:val="30"/>
  </w:num>
  <w:num w:numId="4">
    <w:abstractNumId w:val="16"/>
  </w:num>
  <w:num w:numId="5">
    <w:abstractNumId w:val="81"/>
  </w:num>
  <w:num w:numId="6">
    <w:abstractNumId w:val="35"/>
  </w:num>
  <w:num w:numId="7">
    <w:abstractNumId w:val="78"/>
  </w:num>
  <w:num w:numId="8">
    <w:abstractNumId w:val="4"/>
  </w:num>
  <w:num w:numId="9">
    <w:abstractNumId w:val="54"/>
  </w:num>
  <w:num w:numId="10">
    <w:abstractNumId w:val="40"/>
  </w:num>
  <w:num w:numId="11">
    <w:abstractNumId w:val="61"/>
  </w:num>
  <w:num w:numId="12">
    <w:abstractNumId w:val="62"/>
  </w:num>
  <w:num w:numId="13">
    <w:abstractNumId w:val="45"/>
  </w:num>
  <w:num w:numId="14">
    <w:abstractNumId w:val="79"/>
  </w:num>
  <w:num w:numId="15">
    <w:abstractNumId w:val="5"/>
  </w:num>
  <w:num w:numId="16">
    <w:abstractNumId w:val="53"/>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1"/>
  </w:num>
  <w:num w:numId="20">
    <w:abstractNumId w:val="2"/>
  </w:num>
  <w:num w:numId="21">
    <w:abstractNumId w:val="39"/>
  </w:num>
  <w:num w:numId="22">
    <w:abstractNumId w:val="31"/>
  </w:num>
  <w:num w:numId="23">
    <w:abstractNumId w:val="65"/>
  </w:num>
  <w:num w:numId="24">
    <w:abstractNumId w:val="63"/>
  </w:num>
  <w:num w:numId="25">
    <w:abstractNumId w:val="11"/>
  </w:num>
  <w:num w:numId="26">
    <w:abstractNumId w:val="51"/>
  </w:num>
  <w:num w:numId="27">
    <w:abstractNumId w:val="86"/>
  </w:num>
  <w:num w:numId="28">
    <w:abstractNumId w:val="38"/>
  </w:num>
  <w:num w:numId="29">
    <w:abstractNumId w:val="80"/>
  </w:num>
  <w:num w:numId="30">
    <w:abstractNumId w:val="46"/>
  </w:num>
  <w:num w:numId="31">
    <w:abstractNumId w:val="19"/>
  </w:num>
  <w:num w:numId="32">
    <w:abstractNumId w:val="41"/>
  </w:num>
  <w:num w:numId="33">
    <w:abstractNumId w:val="17"/>
  </w:num>
  <w:num w:numId="34">
    <w:abstractNumId w:val="33"/>
  </w:num>
  <w:num w:numId="35">
    <w:abstractNumId w:val="49"/>
  </w:num>
  <w:num w:numId="36">
    <w:abstractNumId w:val="52"/>
  </w:num>
  <w:num w:numId="37">
    <w:abstractNumId w:val="23"/>
  </w:num>
  <w:num w:numId="38">
    <w:abstractNumId w:val="6"/>
  </w:num>
  <w:num w:numId="39">
    <w:abstractNumId w:val="44"/>
  </w:num>
  <w:num w:numId="40">
    <w:abstractNumId w:val="32"/>
  </w:num>
  <w:num w:numId="41">
    <w:abstractNumId w:val="71"/>
  </w:num>
  <w:num w:numId="42">
    <w:abstractNumId w:val="72"/>
  </w:num>
  <w:num w:numId="43">
    <w:abstractNumId w:val="15"/>
  </w:num>
  <w:num w:numId="44">
    <w:abstractNumId w:val="64"/>
  </w:num>
  <w:num w:numId="45">
    <w:abstractNumId w:val="20"/>
  </w:num>
  <w:num w:numId="46">
    <w:abstractNumId w:val="47"/>
  </w:num>
  <w:num w:numId="47">
    <w:abstractNumId w:val="69"/>
  </w:num>
  <w:num w:numId="48">
    <w:abstractNumId w:val="74"/>
  </w:num>
  <w:num w:numId="49">
    <w:abstractNumId w:val="14"/>
  </w:num>
  <w:num w:numId="50">
    <w:abstractNumId w:val="82"/>
  </w:num>
  <w:num w:numId="51">
    <w:abstractNumId w:val="77"/>
  </w:num>
  <w:num w:numId="52">
    <w:abstractNumId w:val="37"/>
  </w:num>
  <w:num w:numId="53">
    <w:abstractNumId w:val="57"/>
  </w:num>
  <w:num w:numId="54">
    <w:abstractNumId w:val="50"/>
  </w:num>
  <w:num w:numId="55">
    <w:abstractNumId w:val="75"/>
  </w:num>
  <w:num w:numId="56">
    <w:abstractNumId w:val="83"/>
  </w:num>
  <w:num w:numId="57">
    <w:abstractNumId w:val="67"/>
  </w:num>
  <w:num w:numId="58">
    <w:abstractNumId w:val="22"/>
  </w:num>
  <w:num w:numId="59">
    <w:abstractNumId w:val="60"/>
  </w:num>
  <w:num w:numId="60">
    <w:abstractNumId w:val="76"/>
  </w:num>
  <w:num w:numId="61">
    <w:abstractNumId w:val="18"/>
  </w:num>
  <w:num w:numId="62">
    <w:abstractNumId w:val="59"/>
  </w:num>
  <w:num w:numId="63">
    <w:abstractNumId w:val="26"/>
  </w:num>
  <w:num w:numId="64">
    <w:abstractNumId w:val="13"/>
  </w:num>
  <w:num w:numId="65">
    <w:abstractNumId w:val="84"/>
  </w:num>
  <w:num w:numId="66">
    <w:abstractNumId w:val="43"/>
  </w:num>
  <w:num w:numId="67">
    <w:abstractNumId w:val="34"/>
  </w:num>
  <w:num w:numId="68">
    <w:abstractNumId w:val="42"/>
  </w:num>
  <w:num w:numId="69">
    <w:abstractNumId w:val="28"/>
  </w:num>
  <w:num w:numId="70">
    <w:abstractNumId w:val="7"/>
  </w:num>
  <w:num w:numId="71">
    <w:abstractNumId w:val="66"/>
  </w:num>
  <w:num w:numId="72">
    <w:abstractNumId w:val="12"/>
  </w:num>
  <w:num w:numId="73">
    <w:abstractNumId w:val="56"/>
  </w:num>
  <w:num w:numId="74">
    <w:abstractNumId w:val="10"/>
  </w:num>
  <w:num w:numId="75">
    <w:abstractNumId w:val="48"/>
  </w:num>
  <w:num w:numId="76">
    <w:abstractNumId w:val="8"/>
  </w:num>
  <w:num w:numId="77">
    <w:abstractNumId w:val="85"/>
  </w:num>
  <w:num w:numId="78">
    <w:abstractNumId w:val="73"/>
  </w:num>
  <w:num w:numId="79">
    <w:abstractNumId w:val="27"/>
  </w:num>
  <w:num w:numId="80">
    <w:abstractNumId w:val="24"/>
  </w:num>
  <w:num w:numId="81">
    <w:abstractNumId w:val="58"/>
  </w:num>
  <w:num w:numId="82">
    <w:abstractNumId w:val="3"/>
  </w:num>
  <w:num w:numId="83">
    <w:abstractNumId w:val="0"/>
  </w:num>
  <w:num w:numId="84">
    <w:abstractNumId w:val="21"/>
  </w:num>
  <w:num w:numId="85">
    <w:abstractNumId w:val="9"/>
  </w:num>
  <w:num w:numId="86">
    <w:abstractNumId w:val="29"/>
  </w:num>
  <w:num w:numId="87">
    <w:abstractNumId w:val="55"/>
  </w:num>
  <w:num w:numId="88">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3.xml><?xml version="1.0" encoding="utf-8"?>
<ds:datastoreItem xmlns:ds="http://schemas.openxmlformats.org/officeDocument/2006/customXml" ds:itemID="{CB59F16B-7306-4795-942D-B2A5D0594294}">
  <ds:schemaRefs>
    <ds:schemaRef ds:uri="1ace12a3-8b63-4359-bad5-e9efa637cb42"/>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0e06426e-5d7f-4fbc-bef5-981b1238e43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27196</Words>
  <Characters>150011</Characters>
  <Application>Microsoft Office Word</Application>
  <DocSecurity>0</DocSecurity>
  <Lines>1250</Lines>
  <Paragraphs>353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Hossein Bagheri</cp:lastModifiedBy>
  <cp:revision>7</cp:revision>
  <cp:lastPrinted>2008-01-31T01:09:00Z</cp:lastPrinted>
  <dcterms:created xsi:type="dcterms:W3CDTF">2022-10-12T21:35:00Z</dcterms:created>
  <dcterms:modified xsi:type="dcterms:W3CDTF">2022-10-12T21:40:00Z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