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lastRenderedPageBreak/>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27B94319"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p w14:paraId="094FDBEB" w14:textId="77777777" w:rsidR="008050FC" w:rsidRDefault="008050FC" w:rsidP="008050FC">
            <w:pPr>
              <w:pStyle w:val="NormalWeb"/>
              <w:shd w:val="clear" w:color="auto" w:fill="FFFFFF"/>
              <w:spacing w:before="0" w:after="0"/>
              <w:rPr>
                <w:rFonts w:eastAsiaTheme="minorEastAsia"/>
                <w:sz w:val="20"/>
                <w:szCs w:val="20"/>
                <w:lang w:eastAsia="zh-CN"/>
              </w:rPr>
            </w:pPr>
          </w:p>
          <w:p w14:paraId="343549DC" w14:textId="61540096" w:rsidR="008050FC" w:rsidRPr="00611D6E" w:rsidRDefault="008050FC" w:rsidP="008050FC">
            <w:pPr>
              <w:rPr>
                <w:rFonts w:eastAsia="Malgun Gothic"/>
                <w:b/>
                <w:bCs/>
                <w:sz w:val="18"/>
                <w:szCs w:val="18"/>
                <w:u w:val="single"/>
              </w:rPr>
            </w:pP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135F7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135F7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77777777" w:rsidR="00135F70" w:rsidRDefault="00135F70"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lastRenderedPageBreak/>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lastRenderedPageBreak/>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lastRenderedPageBreak/>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4758B7BD" w14:textId="767E5F18" w:rsidR="007D13C7"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p w14:paraId="67ED9C98" w14:textId="51D3D9D6" w:rsidR="008D252D" w:rsidRDefault="008D252D" w:rsidP="003D2B3B">
            <w:pPr>
              <w:widowControl w:val="0"/>
              <w:snapToGrid w:val="0"/>
              <w:rPr>
                <w:rFonts w:eastAsiaTheme="minorEastAsia"/>
                <w:sz w:val="18"/>
                <w:szCs w:val="18"/>
                <w:lang w:eastAsia="zh-CN"/>
              </w:rPr>
            </w:pP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1D302236"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p w14:paraId="5A9D43F6" w14:textId="77777777" w:rsidR="008050FC" w:rsidRDefault="008050FC" w:rsidP="008050FC">
            <w:pPr>
              <w:widowControl w:val="0"/>
              <w:snapToGrid w:val="0"/>
              <w:rPr>
                <w:rFonts w:eastAsiaTheme="minorEastAsia"/>
                <w:b/>
                <w:bCs/>
                <w:sz w:val="18"/>
                <w:szCs w:val="18"/>
                <w:lang w:eastAsia="zh-CN"/>
              </w:rPr>
            </w:pPr>
          </w:p>
          <w:p w14:paraId="5E45261B" w14:textId="77777777" w:rsidR="008050FC" w:rsidRDefault="008050FC" w:rsidP="008050FC">
            <w:pPr>
              <w:widowControl w:val="0"/>
              <w:snapToGrid w:val="0"/>
              <w:rPr>
                <w:rFonts w:eastAsiaTheme="minorEastAsia"/>
                <w:sz w:val="18"/>
                <w:szCs w:val="18"/>
                <w:lang w:eastAsia="zh-CN"/>
              </w:rPr>
            </w:pPr>
          </w:p>
          <w:p w14:paraId="4E30EDED" w14:textId="77777777" w:rsidR="008050FC" w:rsidRDefault="008050FC" w:rsidP="008050FC">
            <w:pPr>
              <w:widowControl w:val="0"/>
              <w:snapToGrid w:val="0"/>
              <w:rPr>
                <w:rFonts w:eastAsiaTheme="minorEastAsia"/>
                <w:sz w:val="18"/>
                <w:szCs w:val="18"/>
                <w:lang w:eastAsia="zh-CN"/>
              </w:rPr>
            </w:pP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 xml:space="preserve">We believe only </w:t>
            </w:r>
            <w:r>
              <w:rPr>
                <w:rFonts w:ascii="Times" w:eastAsiaTheme="minorEastAsia" w:hAnsi="Times"/>
                <w:sz w:val="18"/>
                <w:szCs w:val="18"/>
                <w:lang w:val="en-GB" w:eastAsia="zh-CN"/>
              </w:rPr>
              <w:t xml:space="preserve">Rel-16-Type-II enhancement </w:t>
            </w:r>
            <w:r>
              <w:rPr>
                <w:rFonts w:ascii="Times" w:eastAsiaTheme="minorEastAsia" w:hAnsi="Times"/>
                <w:sz w:val="18"/>
                <w:szCs w:val="18"/>
                <w:lang w:val="en-GB" w:eastAsia="zh-CN"/>
              </w:rPr>
              <w:t>should be considered</w:t>
            </w:r>
            <w:r>
              <w:rPr>
                <w:rFonts w:ascii="Times" w:eastAsiaTheme="minorEastAsia" w:hAnsi="Times"/>
                <w:sz w:val="18"/>
                <w:szCs w:val="18"/>
                <w:lang w:val="en-GB" w:eastAsia="zh-CN"/>
              </w:rPr>
              <w:t>.</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 this Proposal. </w:t>
            </w:r>
            <w:r w:rsidRPr="00135F70">
              <w:rPr>
                <w:rFonts w:ascii="Times" w:hAnsi="Times" w:cs="Times"/>
                <w:sz w:val="18"/>
                <w:szCs w:val="18"/>
                <w:lang w:eastAsia="en-US"/>
              </w:rPr>
              <w:t xml:space="preserve"> </w:t>
            </w:r>
            <w:r w:rsidRPr="00135F70">
              <w:rPr>
                <w:rFonts w:ascii="Times" w:hAnsi="Times" w:cs="Times"/>
                <w:sz w:val="18"/>
                <w:szCs w:val="18"/>
                <w:lang w:eastAsia="en-US"/>
              </w:rPr>
              <w:t>We</w:t>
            </w:r>
            <w:r w:rsidRPr="00135F70">
              <w:rPr>
                <w:rFonts w:ascii="Times" w:hAnsi="Times" w:cs="Times"/>
                <w:sz w:val="18"/>
                <w:szCs w:val="18"/>
                <w:lang w:eastAsia="en-US"/>
              </w:rPr>
              <w:t xml:space="preserv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77777777" w:rsidR="00135F70" w:rsidRPr="00135F70" w:rsidRDefault="00135F7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Pr="00135F70">
              <w:rPr>
                <w:rFonts w:ascii="Times" w:hAnsi="Times" w:cs="Times"/>
                <w:sz w:val="18"/>
                <w:szCs w:val="18"/>
                <w:lang w:eastAsia="en-US"/>
              </w:rPr>
              <w:t xml:space="preserve"> (ms)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135F7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lastRenderedPageBreak/>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Pr="00135F70">
              <w:rPr>
                <w:rFonts w:ascii="Times" w:hAnsi="Times" w:cs="Times"/>
                <w:sz w:val="18"/>
                <w:szCs w:val="18"/>
                <w:lang w:eastAsia="zh-TW"/>
              </w:rPr>
              <w:t>: 1, 2, 4</w:t>
            </w:r>
          </w:p>
          <w:p w14:paraId="65A15AFD"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Pr="00135F70">
              <w:rPr>
                <w:rFonts w:ascii="Times" w:hAnsi="Times" w:cs="Times"/>
                <w:sz w:val="18"/>
                <w:szCs w:val="18"/>
                <w:lang w:eastAsia="zh-TW"/>
              </w:rPr>
              <w:t>: 1, 5</w:t>
            </w:r>
          </w:p>
          <w:p w14:paraId="7A2C9B83"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Pr="00135F70">
              <w:rPr>
                <w:rFonts w:ascii="Times" w:hAnsi="Times" w:cs="Times"/>
                <w:sz w:val="18"/>
                <w:szCs w:val="18"/>
                <w:lang w:eastAsia="zh-TW"/>
              </w:rPr>
              <w:t>: 1, 2, 4, 8</w:t>
            </w:r>
          </w:p>
          <w:p w14:paraId="1C56D73E"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Pr="00135F70">
              <w:rPr>
                <w:rFonts w:ascii="Times" w:hAnsi="Times" w:cs="Times"/>
                <w:sz w:val="18"/>
                <w:szCs w:val="18"/>
                <w:lang w:eastAsia="zh-TW"/>
              </w:rPr>
              <w:t>: 1, 2, 5, 10</w:t>
            </w:r>
          </w:p>
          <w:p w14:paraId="4A8C39AB"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Pr="00135F70">
              <w:rPr>
                <w:rFonts w:ascii="Times" w:hAnsi="Times" w:cs="Times"/>
                <w:sz w:val="18"/>
                <w:szCs w:val="18"/>
                <w:lang w:eastAsia="zh-TW"/>
              </w:rPr>
              <w:t>: 2, 4, 8, [16]</w:t>
            </w:r>
          </w:p>
          <w:p w14:paraId="008D2E4A"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Pr="00135F70">
              <w:rPr>
                <w:rFonts w:ascii="Times" w:hAnsi="Times" w:cs="Times"/>
                <w:sz w:val="18"/>
                <w:szCs w:val="18"/>
                <w:lang w:eastAsia="zh-TW"/>
              </w:rPr>
              <w:t>: 2, 5, 10, [20]</w:t>
            </w:r>
          </w:p>
          <w:p w14:paraId="43358634" w14:textId="77777777" w:rsidR="00135F70" w:rsidRPr="00135F70" w:rsidRDefault="00135F7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Pr="00135F70">
              <w:rPr>
                <w:rFonts w:ascii="Times" w:hAnsi="Times" w:cs="Times"/>
                <w:sz w:val="18"/>
                <w:szCs w:val="18"/>
                <w:lang w:eastAsia="zh-TW"/>
              </w:rPr>
              <w:t>: 4, 5, 8, 10, 20</w:t>
            </w:r>
          </w:p>
          <w:p w14:paraId="1A636CE4" w14:textId="7BB8DAEE" w:rsidR="00135F70" w:rsidRPr="000F2AAB" w:rsidRDefault="00135F70" w:rsidP="008050FC">
            <w:pPr>
              <w:widowControl w:val="0"/>
              <w:snapToGrid w:val="0"/>
              <w:rPr>
                <w:rFonts w:ascii="Times" w:eastAsiaTheme="minorEastAsia" w:hAnsi="Times" w:hint="eastAsia"/>
                <w:b/>
                <w:sz w:val="18"/>
                <w:szCs w:val="18"/>
                <w:u w:val="single"/>
                <w:lang w:val="en-GB"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78DF" w14:textId="77777777" w:rsidR="001B5D04" w:rsidRDefault="001B5D04" w:rsidP="00BC19F2">
      <w:r>
        <w:separator/>
      </w:r>
    </w:p>
  </w:endnote>
  <w:endnote w:type="continuationSeparator" w:id="0">
    <w:p w14:paraId="552280B8" w14:textId="77777777" w:rsidR="001B5D04" w:rsidRDefault="001B5D04" w:rsidP="00BC19F2">
      <w:r>
        <w:continuationSeparator/>
      </w:r>
    </w:p>
  </w:endnote>
  <w:endnote w:type="continuationNotice" w:id="1">
    <w:p w14:paraId="4AB998A2" w14:textId="77777777" w:rsidR="001B5D04" w:rsidRDefault="001B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82CE" w14:textId="77777777" w:rsidR="001B5D04" w:rsidRDefault="001B5D04" w:rsidP="00BC19F2">
      <w:r>
        <w:separator/>
      </w:r>
    </w:p>
  </w:footnote>
  <w:footnote w:type="continuationSeparator" w:id="0">
    <w:p w14:paraId="500D1C90" w14:textId="77777777" w:rsidR="001B5D04" w:rsidRDefault="001B5D04" w:rsidP="00BC19F2">
      <w:r>
        <w:continuationSeparator/>
      </w:r>
    </w:p>
  </w:footnote>
  <w:footnote w:type="continuationNotice" w:id="1">
    <w:p w14:paraId="028E716D" w14:textId="77777777" w:rsidR="001B5D04" w:rsidRDefault="001B5D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4"/>
  </w:num>
  <w:num w:numId="3">
    <w:abstractNumId w:val="13"/>
  </w:num>
  <w:num w:numId="4">
    <w:abstractNumId w:val="22"/>
  </w:num>
  <w:num w:numId="5">
    <w:abstractNumId w:val="32"/>
  </w:num>
  <w:num w:numId="6">
    <w:abstractNumId w:val="2"/>
  </w:num>
  <w:num w:numId="7">
    <w:abstractNumId w:val="26"/>
  </w:num>
  <w:num w:numId="8">
    <w:abstractNumId w:val="34"/>
  </w:num>
  <w:num w:numId="9">
    <w:abstractNumId w:val="4"/>
  </w:num>
  <w:num w:numId="10">
    <w:abstractNumId w:val="12"/>
  </w:num>
  <w:num w:numId="11">
    <w:abstractNumId w:val="29"/>
  </w:num>
  <w:num w:numId="12">
    <w:abstractNumId w:val="23"/>
  </w:num>
  <w:num w:numId="13">
    <w:abstractNumId w:val="27"/>
  </w:num>
  <w:num w:numId="14">
    <w:abstractNumId w:val="15"/>
  </w:num>
  <w:num w:numId="15">
    <w:abstractNumId w:val="14"/>
  </w:num>
  <w:num w:numId="16">
    <w:abstractNumId w:val="17"/>
  </w:num>
  <w:num w:numId="17">
    <w:abstractNumId w:val="11"/>
  </w:num>
  <w:num w:numId="18">
    <w:abstractNumId w:val="18"/>
  </w:num>
  <w:num w:numId="19">
    <w:abstractNumId w:val="30"/>
  </w:num>
  <w:num w:numId="20">
    <w:abstractNumId w:val="0"/>
  </w:num>
  <w:num w:numId="21">
    <w:abstractNumId w:val="7"/>
  </w:num>
  <w:num w:numId="22">
    <w:abstractNumId w:val="21"/>
  </w:num>
  <w:num w:numId="23">
    <w:abstractNumId w:val="6"/>
  </w:num>
  <w:num w:numId="24">
    <w:abstractNumId w:val="25"/>
  </w:num>
  <w:num w:numId="25">
    <w:abstractNumId w:val="8"/>
  </w:num>
  <w:num w:numId="26">
    <w:abstractNumId w:val="10"/>
  </w:num>
  <w:num w:numId="27">
    <w:abstractNumId w:val="20"/>
  </w:num>
  <w:num w:numId="28">
    <w:abstractNumId w:val="19"/>
  </w:num>
  <w:num w:numId="29">
    <w:abstractNumId w:val="9"/>
  </w:num>
  <w:num w:numId="30">
    <w:abstractNumId w:val="28"/>
  </w:num>
  <w:num w:numId="31">
    <w:abstractNumId w:val="3"/>
  </w:num>
  <w:num w:numId="32">
    <w:abstractNumId w:val="16"/>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2EB3"/>
    <w:rsid w:val="00123628"/>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31D7"/>
    <w:rsid w:val="002A4086"/>
    <w:rsid w:val="002A64E4"/>
    <w:rsid w:val="002B04B2"/>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0542"/>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08D"/>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710F9"/>
    <w:rsid w:val="00B7228B"/>
    <w:rsid w:val="00B742D2"/>
    <w:rsid w:val="00B74DCD"/>
    <w:rsid w:val="00B76891"/>
    <w:rsid w:val="00B80640"/>
    <w:rsid w:val="00B80E44"/>
    <w:rsid w:val="00B82AB9"/>
    <w:rsid w:val="00B91170"/>
    <w:rsid w:val="00B92228"/>
    <w:rsid w:val="00B93458"/>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B2"/>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3871</Words>
  <Characters>22070</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2022-10-17T16:00:00Z</dcterms:created>
  <dcterms:modified xsi:type="dcterms:W3CDTF">2022-10-17T16:01:00Z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