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60789121"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C9547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C9547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C9547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C9547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C95477">
            <w:pPr>
              <w:spacing w:after="0"/>
              <w:jc w:val="center"/>
              <w:rPr>
                <w:rFonts w:eastAsiaTheme="minorEastAsia"/>
                <w:lang w:val="en-US" w:eastAsia="zh-CN"/>
              </w:rPr>
            </w:pPr>
            <w:r>
              <w:rPr>
                <w:rFonts w:eastAsiaTheme="minorEastAsia"/>
                <w:lang w:val="en-US" w:eastAsia="zh-CN"/>
              </w:rPr>
              <w:t>Vip Desai</w:t>
            </w:r>
          </w:p>
        </w:tc>
        <w:tc>
          <w:tcPr>
            <w:tcW w:w="4139" w:type="dxa"/>
          </w:tcPr>
          <w:p w14:paraId="0465DE5F" w14:textId="345921A5" w:rsidR="00560EA3" w:rsidRPr="0001576A" w:rsidRDefault="00560EA3" w:rsidP="00C95477">
            <w:pPr>
              <w:spacing w:after="0"/>
              <w:jc w:val="center"/>
              <w:rPr>
                <w:rFonts w:eastAsiaTheme="minorEastAsia"/>
                <w:lang w:val="en-US" w:eastAsia="zh-CN"/>
              </w:rPr>
            </w:pPr>
            <w:r>
              <w:rPr>
                <w:rFonts w:eastAsiaTheme="minorEastAsia"/>
                <w:lang w:val="en-US" w:eastAsia="zh-CN"/>
              </w:rPr>
              <w:t>vipul.desai@futurewei.com</w:t>
            </w: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If configured, the RedCap UE operating in this BWP uses this SSB for the purposes for which it would otherwise have used the cell-defining SSB of the serving cell (</w:t>
            </w:r>
            <w:proofErr w:type="gramStart"/>
            <w:r w:rsidRPr="00BA0ADE">
              <w:rPr>
                <w:rFonts w:cs="Arial"/>
                <w:szCs w:val="18"/>
                <w:lang w:eastAsia="sv-SE"/>
              </w:rPr>
              <w:t>e.g.</w:t>
            </w:r>
            <w:proofErr w:type="gramEnd"/>
            <w:r w:rsidRPr="00BA0ADE">
              <w:rPr>
                <w:rFonts w:cs="Arial"/>
                <w:szCs w:val="18"/>
                <w:lang w:eastAsia="sv-SE"/>
              </w:rPr>
              <w:t xml:space="preserve"> obtaining sync, measurements, RLM). Furthermore, other parts of the BWP configuration that refer to an SSB (</w:t>
            </w:r>
            <w:proofErr w:type="gramStart"/>
            <w:r w:rsidRPr="00BA0ADE">
              <w:rPr>
                <w:rFonts w:cs="Arial"/>
                <w:szCs w:val="18"/>
                <w:lang w:eastAsia="sv-SE"/>
              </w:rPr>
              <w:t>e.g.</w:t>
            </w:r>
            <w:proofErr w:type="gramEnd"/>
            <w:r w:rsidRPr="00BA0ADE">
              <w:rPr>
                <w:rFonts w:cs="Arial"/>
                <w:szCs w:val="18"/>
                <w:lang w:eastAsia="sv-SE"/>
              </w:rPr>
              <w:t xml:space="preserve">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F03636">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F03636">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F0363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C9547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C9547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C9547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C9547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C9547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C95477">
            <w:pPr>
              <w:rPr>
                <w:rFonts w:eastAsiaTheme="minorEastAsia"/>
                <w:lang w:val="en-US" w:eastAsia="zh-CN"/>
              </w:rPr>
            </w:pPr>
            <w:r w:rsidRPr="00560EA3">
              <w:rPr>
                <w:rFonts w:eastAsiaTheme="minorEastAsia"/>
                <w:lang w:val="en-US" w:eastAsia="zh-CN"/>
              </w:rPr>
              <w:t>Similar observations as vivo and CATT</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proofErr w:type="spellStart"/>
            <w:r w:rsidRPr="002371C3">
              <w:rPr>
                <w:i/>
                <w:iCs/>
                <w:color w:val="C00000"/>
                <w:u w:val="single"/>
                <w:lang w:val="en-US"/>
              </w:rPr>
              <w:t>NonCellDefiningSSB</w:t>
            </w:r>
            <w:proofErr w:type="spellEnd"/>
            <w:r w:rsidRPr="002371C3">
              <w:rPr>
                <w:color w:val="C00000"/>
                <w:u w:val="single"/>
                <w:lang w:val="en-US"/>
              </w:rPr>
              <w:t xml:space="preserve">, the UE assumptions on the SS/PBCH blocks for reception of a downlink signal or channel are same as </w:t>
            </w:r>
            <w:r w:rsidRPr="002371C3">
              <w:rPr>
                <w:color w:val="C00000"/>
                <w:u w:val="single"/>
                <w:lang w:val="en-US"/>
              </w:rPr>
              <w:lastRenderedPageBreak/>
              <w:t xml:space="preserve">described for SS/PBCH blocks for a UE indicated presence of SS/PBCH blocks by </w:t>
            </w:r>
            <w:proofErr w:type="spellStart"/>
            <w:r w:rsidRPr="002371C3">
              <w:rPr>
                <w:i/>
                <w:iCs/>
                <w:color w:val="C00000"/>
                <w:u w:val="single"/>
                <w:lang w:val="en-US"/>
              </w:rPr>
              <w:t>ssb-PositionsInBurst</w:t>
            </w:r>
            <w:proofErr w:type="spellEnd"/>
            <w:r w:rsidRPr="002371C3">
              <w:rPr>
                <w:color w:val="C00000"/>
                <w:u w:val="single"/>
                <w:lang w:val="en-US"/>
              </w:rPr>
              <w:t xml:space="preserve"> in SIB1 or in </w:t>
            </w:r>
            <w:proofErr w:type="spellStart"/>
            <w:r w:rsidRPr="002371C3">
              <w:rPr>
                <w:i/>
                <w:iCs/>
                <w:color w:val="C00000"/>
                <w:u w:val="single"/>
                <w:lang w:val="en-US"/>
              </w:rPr>
              <w:t>ServingCellConfigCommon</w:t>
            </w:r>
            <w:proofErr w:type="spellEnd"/>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w:t>
            </w:r>
            <w:proofErr w:type="spellStart"/>
            <w:r w:rsidRPr="002B71FC">
              <w:rPr>
                <w:i/>
                <w:lang w:val="en-US"/>
              </w:rPr>
              <w:t>NonCellDefiningSSB</w:t>
            </w:r>
            <w:proofErr w:type="spellEnd"/>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proofErr w:type="spellStart"/>
            <w:r w:rsidRPr="002B71FC">
              <w:rPr>
                <w:i/>
                <w:lang w:val="en-US"/>
              </w:rPr>
              <w:t>ssb-PositionsInBurst</w:t>
            </w:r>
            <w:proofErr w:type="spellEnd"/>
            <w:r w:rsidRPr="002B71FC">
              <w:rPr>
                <w:lang w:val="en-US"/>
              </w:rPr>
              <w:t xml:space="preserve"> in </w:t>
            </w:r>
            <w:r w:rsidRPr="002B71FC">
              <w:rPr>
                <w:i/>
                <w:lang w:val="en-US"/>
              </w:rPr>
              <w:t>SIB1</w:t>
            </w:r>
            <w:r w:rsidRPr="002B71FC">
              <w:rPr>
                <w:lang w:val="en-US"/>
              </w:rPr>
              <w:t xml:space="preserve"> or in </w:t>
            </w:r>
            <w:proofErr w:type="spellStart"/>
            <w:r w:rsidRPr="002B71FC">
              <w:rPr>
                <w:i/>
                <w:lang w:val="en-US"/>
              </w:rPr>
              <w:t>ServingCellConfigCommon</w:t>
            </w:r>
            <w:proofErr w:type="spellEnd"/>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proofErr w:type="spellStart"/>
      <w:r w:rsidRPr="0014510D">
        <w:rPr>
          <w:i/>
          <w:iCs/>
          <w:sz w:val="20"/>
          <w:szCs w:val="20"/>
          <w:lang w:val="en-US"/>
        </w:rPr>
        <w:t>ssb-PositionsInBurst</w:t>
      </w:r>
      <w:proofErr w:type="spellEnd"/>
      <w:r w:rsidRPr="0014510D">
        <w:rPr>
          <w:sz w:val="20"/>
          <w:szCs w:val="20"/>
          <w:lang w:val="en-US"/>
        </w:rPr>
        <w:t xml:space="preserve"> in SIB1 or by </w:t>
      </w:r>
      <w:proofErr w:type="spellStart"/>
      <w:r w:rsidRPr="0014510D">
        <w:rPr>
          <w:i/>
          <w:iCs/>
          <w:sz w:val="20"/>
          <w:szCs w:val="20"/>
          <w:lang w:val="en-US"/>
        </w:rPr>
        <w:t>ServingCellConfigCommon</w:t>
      </w:r>
      <w:proofErr w:type="spellEnd"/>
      <w:r w:rsidRPr="0014510D">
        <w:rPr>
          <w:sz w:val="20"/>
          <w:szCs w:val="20"/>
          <w:lang w:val="en-US"/>
        </w:rPr>
        <w:t xml:space="preserve">, or by </w:t>
      </w:r>
      <w:proofErr w:type="spellStart"/>
      <w:r w:rsidRPr="0014510D">
        <w:rPr>
          <w:i/>
          <w:iCs/>
          <w:sz w:val="20"/>
          <w:szCs w:val="20"/>
          <w:lang w:val="en-US"/>
        </w:rPr>
        <w:t>NonCellDefiningSSB</w:t>
      </w:r>
      <w:proofErr w:type="spellEnd"/>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lastRenderedPageBreak/>
        <w:t xml:space="preserve">the UE does not expect to be configured with a SS/PBCH block by </w:t>
      </w:r>
      <w:proofErr w:type="spellStart"/>
      <w:r w:rsidRPr="0014510D">
        <w:rPr>
          <w:i/>
          <w:iCs/>
          <w:sz w:val="20"/>
          <w:szCs w:val="20"/>
          <w:lang w:val="en-US"/>
        </w:rPr>
        <w:t>NonCellDefiningSSB</w:t>
      </w:r>
      <w:proofErr w:type="spellEnd"/>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C9547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C9547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 xml:space="preserve">and </w:t>
      </w:r>
      <w:proofErr w:type="spellStart"/>
      <w:r w:rsidR="00604FBB">
        <w:rPr>
          <w:szCs w:val="22"/>
          <w:lang w:val="en-US"/>
        </w:rPr>
        <w:t>TBoMS</w:t>
      </w:r>
      <w:proofErr w:type="spellEnd"/>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lastRenderedPageBreak/>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C95477">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C95477">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lastRenderedPageBreak/>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C95477">
            <w:pPr>
              <w:rPr>
                <w:rFonts w:eastAsiaTheme="minorEastAsia"/>
                <w:lang w:val="en-US" w:eastAsia="zh-CN"/>
              </w:rPr>
            </w:pPr>
            <w:r>
              <w:rPr>
                <w:rFonts w:eastAsiaTheme="minorEastAsia" w:hint="eastAsia"/>
                <w:lang w:val="en-US" w:eastAsia="zh-CN"/>
              </w:rPr>
              <w:t>Prefer to wait until the discussion for Rel-15 CR is clear.</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C9547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C9547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C9547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C9547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C95477">
            <w:pPr>
              <w:rPr>
                <w:rFonts w:eastAsiaTheme="minorEastAsia"/>
                <w:lang w:val="en-US" w:eastAsia="zh-CN"/>
              </w:rPr>
            </w:pPr>
            <w:r w:rsidRPr="00560EA3">
              <w:rPr>
                <w:rFonts w:eastAsiaTheme="minorEastAsia"/>
                <w:lang w:val="en-US" w:eastAsia="zh-CN"/>
              </w:rPr>
              <w:t>OK but may not be essential</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w:t>
      </w:r>
      <w:proofErr w:type="spellStart"/>
      <w:r w:rsidR="00BC071B">
        <w:rPr>
          <w:lang w:val="en-US"/>
        </w:rPr>
        <w:t>MsgA</w:t>
      </w:r>
      <w:proofErr w:type="spellEnd"/>
      <w:r w:rsidR="00BC071B">
        <w:rPr>
          <w:lang w:val="en-US"/>
        </w:rPr>
        <w:t xml:space="preserve">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C95477">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w:t>
            </w:r>
            <w:proofErr w:type="gramStart"/>
            <w:r>
              <w:rPr>
                <w:rFonts w:eastAsiaTheme="minorEastAsia"/>
                <w:lang w:val="en-US" w:eastAsia="zh-CN"/>
              </w:rPr>
              <w:t>current status</w:t>
            </w:r>
            <w:proofErr w:type="gramEnd"/>
            <w:r>
              <w:rPr>
                <w:rFonts w:eastAsiaTheme="minorEastAsia"/>
                <w:lang w:val="en-US" w:eastAsia="zh-CN"/>
              </w:rPr>
              <w:t xml:space="preserve">.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proofErr w:type="spellStart"/>
            <w:r w:rsidR="00A1003D">
              <w:rPr>
                <w:rFonts w:eastAsiaTheme="minorEastAsia"/>
                <w:lang w:val="en-US" w:eastAsia="zh-CN"/>
              </w:rPr>
              <w:t>Vivo’s</w:t>
            </w:r>
            <w:proofErr w:type="spellEnd"/>
            <w:r w:rsidR="00A1003D">
              <w:rPr>
                <w:rFonts w:eastAsiaTheme="minorEastAsia"/>
                <w:lang w:val="en-US" w:eastAsia="zh-CN"/>
              </w:rPr>
              <w:t xml:space="preserve"> comments.  Ultimately, this is left to UE implementation.</w:t>
            </w:r>
          </w:p>
        </w:tc>
      </w:tr>
      <w:tr w:rsidR="00011131" w14:paraId="33F64CAE" w14:textId="77777777" w:rsidTr="00011131">
        <w:tc>
          <w:tcPr>
            <w:tcW w:w="1479" w:type="dxa"/>
          </w:tcPr>
          <w:p w14:paraId="74D7DBBB"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C95477">
            <w:pPr>
              <w:rPr>
                <w:rFonts w:eastAsiaTheme="minorEastAsia"/>
                <w:lang w:val="en-US" w:eastAsia="zh-CN"/>
              </w:rPr>
            </w:pP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000000">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000000">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000000">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000000">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000000"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000000"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000000"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proofErr w:type="spellStart"/>
            <w:r w:rsidRPr="005B2B37">
              <w:t>Spreadtrum</w:t>
            </w:r>
            <w:proofErr w:type="spellEnd"/>
            <w:r w:rsidRPr="005B2B37">
              <w:t xml:space="preserve">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000000"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000000"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000000"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000000"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000000"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000000"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000000"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000000"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000000"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000000"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000000"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 xml:space="preserve">Discussion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000000"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 xml:space="preserve">Corrections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000000"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Huawei, HiSilicon</w:t>
            </w:r>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000000"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000000"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 xml:space="preserve">Correction on cancellation of PUSCH repetitions and </w:t>
            </w:r>
            <w:proofErr w:type="spellStart"/>
            <w:r w:rsidRPr="00B77318">
              <w:t>TBoMS</w:t>
            </w:r>
            <w:proofErr w:type="spellEnd"/>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000000"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000000"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000000"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F55D" w14:textId="77777777" w:rsidR="00D514F0" w:rsidRDefault="00D514F0">
      <w:pPr>
        <w:spacing w:line="240" w:lineRule="auto"/>
      </w:pPr>
      <w:r>
        <w:separator/>
      </w:r>
    </w:p>
  </w:endnote>
  <w:endnote w:type="continuationSeparator" w:id="0">
    <w:p w14:paraId="1285F4D7" w14:textId="77777777" w:rsidR="00D514F0" w:rsidRDefault="00D514F0">
      <w:pPr>
        <w:spacing w:line="240" w:lineRule="auto"/>
      </w:pPr>
      <w:r>
        <w:continuationSeparator/>
      </w:r>
    </w:p>
  </w:endnote>
  <w:endnote w:type="continuationNotice" w:id="1">
    <w:p w14:paraId="231FA7DC" w14:textId="77777777" w:rsidR="00D514F0" w:rsidRDefault="00D51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A03E" w14:textId="77777777" w:rsidR="00D514F0" w:rsidRDefault="00D514F0">
      <w:pPr>
        <w:spacing w:after="0"/>
      </w:pPr>
      <w:r>
        <w:separator/>
      </w:r>
    </w:p>
  </w:footnote>
  <w:footnote w:type="continuationSeparator" w:id="0">
    <w:p w14:paraId="693B0298" w14:textId="77777777" w:rsidR="00D514F0" w:rsidRDefault="00D514F0">
      <w:pPr>
        <w:spacing w:after="0"/>
      </w:pPr>
      <w:r>
        <w:continuationSeparator/>
      </w:r>
    </w:p>
  </w:footnote>
  <w:footnote w:type="continuationNotice" w:id="1">
    <w:p w14:paraId="71F0FADF" w14:textId="77777777" w:rsidR="00D514F0" w:rsidRDefault="00D514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4141881">
    <w:abstractNumId w:val="6"/>
  </w:num>
  <w:num w:numId="2" w16cid:durableId="1581670420">
    <w:abstractNumId w:val="14"/>
  </w:num>
  <w:num w:numId="3" w16cid:durableId="1921520973">
    <w:abstractNumId w:val="2"/>
  </w:num>
  <w:num w:numId="4" w16cid:durableId="1526482979">
    <w:abstractNumId w:val="1"/>
  </w:num>
  <w:num w:numId="5" w16cid:durableId="1844200351">
    <w:abstractNumId w:val="18"/>
  </w:num>
  <w:num w:numId="6" w16cid:durableId="698820806">
    <w:abstractNumId w:val="19"/>
    <w:lvlOverride w:ilvl="0">
      <w:startOverride w:val="1"/>
    </w:lvlOverride>
  </w:num>
  <w:num w:numId="7" w16cid:durableId="1228613470">
    <w:abstractNumId w:val="20"/>
  </w:num>
  <w:num w:numId="8" w16cid:durableId="1477262432">
    <w:abstractNumId w:val="24"/>
  </w:num>
  <w:num w:numId="9" w16cid:durableId="1765104275">
    <w:abstractNumId w:val="15"/>
  </w:num>
  <w:num w:numId="10" w16cid:durableId="1728645066">
    <w:abstractNumId w:val="25"/>
  </w:num>
  <w:num w:numId="11" w16cid:durableId="830563679">
    <w:abstractNumId w:val="9"/>
  </w:num>
  <w:num w:numId="12" w16cid:durableId="1204556665">
    <w:abstractNumId w:val="10"/>
  </w:num>
  <w:num w:numId="13" w16cid:durableId="1879585789">
    <w:abstractNumId w:val="7"/>
  </w:num>
  <w:num w:numId="14" w16cid:durableId="195654692">
    <w:abstractNumId w:val="12"/>
  </w:num>
  <w:num w:numId="15" w16cid:durableId="1085229779">
    <w:abstractNumId w:val="3"/>
  </w:num>
  <w:num w:numId="16" w16cid:durableId="1173640114">
    <w:abstractNumId w:val="26"/>
  </w:num>
  <w:num w:numId="17" w16cid:durableId="56319852">
    <w:abstractNumId w:val="31"/>
  </w:num>
  <w:num w:numId="18" w16cid:durableId="1486437482">
    <w:abstractNumId w:val="27"/>
  </w:num>
  <w:num w:numId="19" w16cid:durableId="879897015">
    <w:abstractNumId w:val="0"/>
  </w:num>
  <w:num w:numId="20" w16cid:durableId="208038139">
    <w:abstractNumId w:val="11"/>
  </w:num>
  <w:num w:numId="21" w16cid:durableId="1471823811">
    <w:abstractNumId w:val="5"/>
  </w:num>
  <w:num w:numId="22" w16cid:durableId="604579018">
    <w:abstractNumId w:val="13"/>
  </w:num>
  <w:num w:numId="23" w16cid:durableId="648628277">
    <w:abstractNumId w:val="23"/>
  </w:num>
  <w:num w:numId="24" w16cid:durableId="14842360">
    <w:abstractNumId w:val="32"/>
  </w:num>
  <w:num w:numId="25" w16cid:durableId="1524049723">
    <w:abstractNumId w:val="4"/>
  </w:num>
  <w:num w:numId="26" w16cid:durableId="1897273448">
    <w:abstractNumId w:val="6"/>
  </w:num>
  <w:num w:numId="27" w16cid:durableId="1484421769">
    <w:abstractNumId w:val="17"/>
  </w:num>
  <w:num w:numId="28" w16cid:durableId="972637357">
    <w:abstractNumId w:val="22"/>
  </w:num>
  <w:num w:numId="29" w16cid:durableId="12925733">
    <w:abstractNumId w:val="28"/>
  </w:num>
  <w:num w:numId="30" w16cid:durableId="311258740">
    <w:abstractNumId w:val="16"/>
  </w:num>
  <w:num w:numId="31" w16cid:durableId="729353216">
    <w:abstractNumId w:val="29"/>
  </w:num>
  <w:num w:numId="32" w16cid:durableId="959726947">
    <w:abstractNumId w:val="21"/>
  </w:num>
  <w:num w:numId="33" w16cid:durableId="209650819">
    <w:abstractNumId w:val="30"/>
  </w:num>
  <w:num w:numId="34" w16cid:durableId="1487430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29043</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2022-10-10T17:39:00Z</dcterms:created>
  <dcterms:modified xsi:type="dcterms:W3CDTF">2022-10-10T17:39:00Z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