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754" w14:textId="0842DDAF"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w:t>
      </w:r>
      <w:r w:rsidRPr="0029118C">
        <w:rPr>
          <w:rFonts w:ascii="Arial" w:hAnsi="Arial" w:cs="Arial"/>
          <w:b/>
          <w:bCs/>
          <w:highlight w:val="yellow"/>
          <w:lang w:val="de-DE"/>
        </w:rPr>
        <w:t>22</w:t>
      </w:r>
      <w:r w:rsidR="0029118C" w:rsidRPr="0029118C">
        <w:rPr>
          <w:rFonts w:ascii="Arial" w:hAnsi="Arial" w:cs="Arial"/>
          <w:b/>
          <w:bCs/>
          <w:highlight w:val="yellow"/>
          <w:lang w:val="de-DE"/>
        </w:rPr>
        <w:t>NNNN</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096F8C9A" w:rsidR="00705B92" w:rsidRDefault="00963D5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w:t>
      </w:r>
      <w:r w:rsidR="0029118C">
        <w:rPr>
          <w:rFonts w:ascii="Arial" w:hAnsi="Arial"/>
        </w:rPr>
        <w:t>Ericsson</w:t>
      </w:r>
      <w:r>
        <w:rPr>
          <w:rFonts w:ascii="Arial" w:hAnsi="Arial"/>
        </w:rPr>
        <w: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Heading2"/>
        <w:numPr>
          <w:ilvl w:val="0"/>
          <w:numId w:val="33"/>
        </w:numPr>
      </w:pPr>
      <w:r>
        <w:t>Introduction</w:t>
      </w:r>
    </w:p>
    <w:p w14:paraId="020FCFAC" w14:textId="03F13336" w:rsidR="00705B92" w:rsidRDefault="00963D5B" w:rsidP="00C660AA">
      <w:pPr>
        <w:rPr>
          <w:sz w:val="20"/>
          <w:szCs w:val="20"/>
          <w:lang w:eastAsia="zh-CN"/>
        </w:rPr>
      </w:pPr>
      <w:r>
        <w:rPr>
          <w:sz w:val="20"/>
          <w:szCs w:val="20"/>
          <w:lang w:eastAsia="zh-CN"/>
        </w:rPr>
        <w:t xml:space="preserve">This document </w:t>
      </w:r>
      <w:r w:rsidR="004226E9">
        <w:rPr>
          <w:sz w:val="20"/>
          <w:szCs w:val="20"/>
          <w:lang w:eastAsia="zh-CN"/>
        </w:rPr>
        <w:t xml:space="preserve">captures the discussion on </w:t>
      </w:r>
      <w:r w:rsidR="00C660AA">
        <w:rPr>
          <w:sz w:val="20"/>
          <w:szCs w:val="20"/>
          <w:lang w:eastAsia="zh-CN"/>
        </w:rPr>
        <w:t xml:space="preserve">the </w:t>
      </w:r>
      <w:proofErr w:type="gramStart"/>
      <w:r w:rsidR="00C660AA">
        <w:rPr>
          <w:sz w:val="20"/>
          <w:szCs w:val="20"/>
          <w:lang w:eastAsia="zh-CN"/>
        </w:rPr>
        <w:t xml:space="preserve">identified </w:t>
      </w:r>
      <w:r>
        <w:rPr>
          <w:sz w:val="20"/>
          <w:szCs w:val="20"/>
          <w:lang w:eastAsia="zh-CN"/>
        </w:rPr>
        <w:t xml:space="preserve"> maintenance</w:t>
      </w:r>
      <w:proofErr w:type="gramEnd"/>
      <w:r>
        <w:rPr>
          <w:sz w:val="20"/>
          <w:szCs w:val="20"/>
          <w:lang w:eastAsia="zh-CN"/>
        </w:rPr>
        <w:t xml:space="preserve"> issues</w:t>
      </w:r>
      <w:r w:rsidR="00C660AA">
        <w:rPr>
          <w:sz w:val="20"/>
          <w:szCs w:val="20"/>
          <w:lang w:eastAsia="zh-CN"/>
        </w:rPr>
        <w:t xml:space="preserve"> on accuracy improvements for DL-AOD positioning solutions </w:t>
      </w:r>
      <w:r w:rsidR="00C25025">
        <w:rPr>
          <w:sz w:val="20"/>
          <w:szCs w:val="20"/>
          <w:lang w:eastAsia="zh-CN"/>
        </w:rPr>
        <w:t>based on the preparation phase documented in R1-2210266</w:t>
      </w:r>
      <w:r w:rsidR="004226E9">
        <w:rPr>
          <w:sz w:val="20"/>
          <w:szCs w:val="20"/>
          <w:lang w:eastAsia="zh-CN"/>
        </w:rPr>
        <w:t>, and triggered by the following chair decision:</w:t>
      </w:r>
    </w:p>
    <w:p w14:paraId="4277357B" w14:textId="77777777" w:rsidR="004226E9" w:rsidRDefault="004226E9" w:rsidP="00C660AA">
      <w:pPr>
        <w:rPr>
          <w:sz w:val="20"/>
          <w:szCs w:val="20"/>
          <w:lang w:eastAsia="zh-CN"/>
        </w:rPr>
      </w:pPr>
    </w:p>
    <w:p w14:paraId="46881F44" w14:textId="77777777" w:rsidR="00C660AA" w:rsidRPr="00C660AA" w:rsidRDefault="00C660AA" w:rsidP="00C660AA">
      <w:pPr>
        <w:jc w:val="both"/>
        <w:rPr>
          <w:rFonts w:ascii="DengXian" w:eastAsia="DengXian" w:hAnsi="DengXian"/>
          <w:color w:val="212121"/>
          <w:sz w:val="21"/>
          <w:szCs w:val="21"/>
          <w:lang w:val="en-SE" w:eastAsia="ja-JP"/>
        </w:rPr>
      </w:pPr>
      <w:r w:rsidRPr="00C660AA">
        <w:rPr>
          <w:rFonts w:eastAsia="DengXian"/>
          <w:color w:val="212121"/>
          <w:sz w:val="21"/>
          <w:szCs w:val="21"/>
          <w:shd w:val="clear" w:color="auto" w:fill="00FFFF"/>
          <w:lang w:eastAsia="ja-JP"/>
        </w:rPr>
        <w:t>[110bis-e-R17-ePos-04] Email discussion for maintenance on accuracy improvements for DL-AoD positioning solutions for issues 3-1, 3-2, 3-3 in R1-2210266 – Florent (Ericsson)</w:t>
      </w:r>
    </w:p>
    <w:p w14:paraId="6F243CC1" w14:textId="77777777" w:rsidR="00C660AA" w:rsidRPr="00C660AA" w:rsidRDefault="00C660AA" w:rsidP="00C660AA">
      <w:pPr>
        <w:ind w:left="760" w:hanging="360"/>
        <w:rPr>
          <w:rFonts w:ascii="DengXian" w:eastAsia="DengXian" w:hAnsi="DengXian" w:hint="eastAsia"/>
          <w:color w:val="212121"/>
          <w:sz w:val="21"/>
          <w:szCs w:val="21"/>
          <w:lang w:val="en-SE" w:eastAsia="ja-JP"/>
        </w:rPr>
      </w:pPr>
      <w:r w:rsidRPr="00C660AA">
        <w:rPr>
          <w:rFonts w:ascii="Times" w:eastAsia="DengXian" w:hAnsi="Times"/>
          <w:color w:val="212121"/>
          <w:sz w:val="21"/>
          <w:szCs w:val="21"/>
          <w:shd w:val="clear" w:color="auto" w:fill="00FFFF"/>
          <w:lang w:eastAsia="ja-JP"/>
        </w:rPr>
        <w:t>-</w:t>
      </w:r>
      <w:r w:rsidRPr="00C660AA">
        <w:rPr>
          <w:rFonts w:eastAsia="DengXian"/>
          <w:color w:val="212121"/>
          <w:sz w:val="14"/>
          <w:szCs w:val="14"/>
          <w:shd w:val="clear" w:color="auto" w:fill="00FFFF"/>
          <w:lang w:eastAsia="ja-JP"/>
        </w:rPr>
        <w:t>          </w:t>
      </w:r>
      <w:r w:rsidRPr="00C660AA">
        <w:rPr>
          <w:rFonts w:eastAsia="DengXian"/>
          <w:color w:val="212121"/>
          <w:sz w:val="21"/>
          <w:szCs w:val="21"/>
          <w:shd w:val="clear" w:color="auto" w:fill="00FFFF"/>
          <w:lang w:eastAsia="ja-JP"/>
        </w:rPr>
        <w:t>Check points: October 14, October 19</w:t>
      </w:r>
    </w:p>
    <w:p w14:paraId="428E0B74" w14:textId="77777777" w:rsidR="00C660AA" w:rsidRDefault="00C660AA" w:rsidP="00C660AA">
      <w:pPr>
        <w:rPr>
          <w:sz w:val="20"/>
          <w:szCs w:val="20"/>
          <w:highlight w:val="cyan"/>
          <w:lang w:eastAsia="zh-CN"/>
        </w:rPr>
      </w:pPr>
    </w:p>
    <w:p w14:paraId="7E1BDE4B" w14:textId="7344BF30" w:rsidR="00705B92" w:rsidRPr="00261042" w:rsidRDefault="00963D5B" w:rsidP="00261042">
      <w:pPr>
        <w:pStyle w:val="Heading2"/>
        <w:numPr>
          <w:ilvl w:val="0"/>
          <w:numId w:val="33"/>
        </w:numPr>
      </w:pPr>
      <w:r>
        <w:t>Issues on NR positioning enhancements</w:t>
      </w:r>
    </w:p>
    <w:p w14:paraId="2A6FA141" w14:textId="5901DEB1" w:rsidR="00705B92" w:rsidRPr="00EB0A29" w:rsidRDefault="00B17A6C" w:rsidP="00EB0A29">
      <w:pPr>
        <w:pStyle w:val="Heading2"/>
        <w:numPr>
          <w:ilvl w:val="1"/>
          <w:numId w:val="33"/>
        </w:numPr>
      </w:pPr>
      <w:r>
        <w:t xml:space="preserve">List of issues </w:t>
      </w:r>
    </w:p>
    <w:p w14:paraId="1789FB34" w14:textId="133F27B0"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B0A29">
        <w:rPr>
          <w:b/>
          <w:noProof/>
          <w:sz w:val="18"/>
        </w:rPr>
        <w:t>1</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68041C45" w14:textId="77777777" w:rsidR="00705B92" w:rsidRDefault="00705B92">
            <w:pPr>
              <w:snapToGrid w:val="0"/>
              <w:jc w:val="both"/>
              <w:rPr>
                <w:rFonts w:ascii="Arial" w:eastAsia="DengXian" w:hAnsi="Arial" w:cs="Arial"/>
                <w:sz w:val="16"/>
                <w:szCs w:val="16"/>
                <w:lang w:eastAsia="zh-CN"/>
              </w:rPr>
            </w:pPr>
          </w:p>
        </w:tc>
        <w:tc>
          <w:tcPr>
            <w:tcW w:w="1772" w:type="pct"/>
          </w:tcPr>
          <w:p w14:paraId="00BD64DA"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7CD2B4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A599F7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B468D3E" w14:textId="0EF8FF95"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C6BF3C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731DCF" w14:textId="21D43C5C"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E1EDE1A"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13B6DD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really see the to discuss this</w:t>
            </w:r>
          </w:p>
          <w:p w14:paraId="69D59FBD"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1DCE5429" w14:textId="146E6E5D" w:rsidR="00EB0A29" w:rsidRDefault="00B17A6C" w:rsidP="00EB0A29">
      <w:pPr>
        <w:pStyle w:val="Heading2"/>
        <w:numPr>
          <w:ilvl w:val="1"/>
          <w:numId w:val="33"/>
        </w:numPr>
      </w:pPr>
      <w:r>
        <w:rPr>
          <w:sz w:val="20"/>
        </w:rPr>
        <w:lastRenderedPageBreak/>
        <w:t xml:space="preserve">  </w:t>
      </w:r>
      <w:r w:rsidR="00EB0A29">
        <w:t xml:space="preserve">Issue 3-1 </w:t>
      </w:r>
      <w:r w:rsidR="00EB0A29" w:rsidRPr="00EB0A29">
        <w:t>Correction on missing descriptions for timestamp of DL PRS-RSRPP</w:t>
      </w:r>
    </w:p>
    <w:p w14:paraId="6ED466D7" w14:textId="52236C5C" w:rsidR="002044C6" w:rsidRDefault="00B63416" w:rsidP="002044C6">
      <w:pPr>
        <w:rPr>
          <w:lang w:eastAsia="zh-CN"/>
        </w:rPr>
      </w:pPr>
      <w:r>
        <w:rPr>
          <w:lang w:eastAsia="zh-CN"/>
        </w:rPr>
        <w:t>In [1] and [3]</w:t>
      </w:r>
      <w:r w:rsidR="005476FB">
        <w:rPr>
          <w:lang w:eastAsia="zh-CN"/>
        </w:rPr>
        <w:t xml:space="preserve"> DL PRS RSRPP is added to the list of measurement </w:t>
      </w:r>
      <w:r w:rsidR="00E06DAE">
        <w:rPr>
          <w:lang w:eastAsia="zh-CN"/>
        </w:rPr>
        <w:t xml:space="preserve">which can include a time stamp, as well as to assistance data reference information, </w:t>
      </w:r>
      <w:r w:rsidR="00325766">
        <w:rPr>
          <w:lang w:eastAsia="zh-CN"/>
        </w:rPr>
        <w:t xml:space="preserve">LOS/NLOS reporting, and multiple measurement </w:t>
      </w:r>
      <w:proofErr w:type="spellStart"/>
      <w:r w:rsidR="00325766">
        <w:rPr>
          <w:lang w:eastAsia="zh-CN"/>
        </w:rPr>
        <w:t>insteance</w:t>
      </w:r>
      <w:proofErr w:type="spellEnd"/>
      <w:r w:rsidR="00325766">
        <w:rPr>
          <w:lang w:eastAsia="zh-CN"/>
        </w:rPr>
        <w:t xml:space="preserve"> in a single report. </w:t>
      </w:r>
    </w:p>
    <w:p w14:paraId="1ECCF2AC" w14:textId="77777777" w:rsidR="00325766" w:rsidRDefault="00325766" w:rsidP="002044C6">
      <w:pPr>
        <w:rPr>
          <w:lang w:eastAsia="zh-CN"/>
        </w:rPr>
      </w:pPr>
    </w:p>
    <w:p w14:paraId="3B875117" w14:textId="3301009B" w:rsidR="00325766" w:rsidRDefault="00325766" w:rsidP="002044C6">
      <w:pPr>
        <w:rPr>
          <w:lang w:eastAsia="zh-CN"/>
        </w:rPr>
      </w:pPr>
      <w:r>
        <w:rPr>
          <w:lang w:eastAsia="zh-CN"/>
        </w:rPr>
        <w:t>Please comment below on whether the CRs can be endorsed as is</w:t>
      </w:r>
      <w:r w:rsidR="009C2764">
        <w:rPr>
          <w:lang w:eastAsia="zh-CN"/>
        </w:rPr>
        <w:t xml:space="preserve"> in a merged CR or potential changes needed:</w:t>
      </w:r>
    </w:p>
    <w:p w14:paraId="1ACC4908" w14:textId="77777777" w:rsidR="009C2764" w:rsidRDefault="009C2764" w:rsidP="002044C6">
      <w:pPr>
        <w:rPr>
          <w:lang w:eastAsia="zh-CN"/>
        </w:rPr>
      </w:pPr>
    </w:p>
    <w:tbl>
      <w:tblPr>
        <w:tblStyle w:val="TableGrid"/>
        <w:tblW w:w="0" w:type="auto"/>
        <w:tblInd w:w="284" w:type="dxa"/>
        <w:tblLook w:val="04A0" w:firstRow="1" w:lastRow="0" w:firstColumn="1" w:lastColumn="0" w:noHBand="0" w:noVBand="1"/>
      </w:tblPr>
      <w:tblGrid>
        <w:gridCol w:w="1834"/>
        <w:gridCol w:w="7808"/>
      </w:tblGrid>
      <w:tr w:rsidR="00101537" w14:paraId="00CBD1E5" w14:textId="77777777" w:rsidTr="0097042E">
        <w:tc>
          <w:tcPr>
            <w:tcW w:w="1838" w:type="dxa"/>
            <w:shd w:val="clear" w:color="auto" w:fill="BDD6EE" w:themeFill="accent1" w:themeFillTint="66"/>
          </w:tcPr>
          <w:p w14:paraId="2FF59945" w14:textId="77777777" w:rsidR="00101537" w:rsidRDefault="00101537" w:rsidP="0097042E">
            <w:pPr>
              <w:pStyle w:val="3GPPAgreements"/>
              <w:numPr>
                <w:ilvl w:val="0"/>
                <w:numId w:val="0"/>
              </w:numPr>
            </w:pPr>
            <w:r>
              <w:t>Company</w:t>
            </w:r>
          </w:p>
        </w:tc>
        <w:tc>
          <w:tcPr>
            <w:tcW w:w="7840" w:type="dxa"/>
            <w:shd w:val="clear" w:color="auto" w:fill="BDD6EE" w:themeFill="accent1" w:themeFillTint="66"/>
          </w:tcPr>
          <w:p w14:paraId="7C05AD07" w14:textId="77777777" w:rsidR="00101537" w:rsidRDefault="00101537" w:rsidP="0097042E">
            <w:pPr>
              <w:pStyle w:val="3GPPAgreements"/>
              <w:numPr>
                <w:ilvl w:val="0"/>
                <w:numId w:val="0"/>
              </w:numPr>
            </w:pPr>
            <w:r>
              <w:t>comment</w:t>
            </w:r>
          </w:p>
        </w:tc>
      </w:tr>
      <w:tr w:rsidR="00101537" w14:paraId="68A0C9E1" w14:textId="77777777" w:rsidTr="0097042E">
        <w:tc>
          <w:tcPr>
            <w:tcW w:w="1838" w:type="dxa"/>
          </w:tcPr>
          <w:p w14:paraId="263FE47B" w14:textId="77777777" w:rsidR="00101537" w:rsidRPr="00BB5C1C" w:rsidRDefault="00101537" w:rsidP="0097042E">
            <w:pPr>
              <w:pStyle w:val="3GPPAgreements"/>
              <w:numPr>
                <w:ilvl w:val="0"/>
                <w:numId w:val="0"/>
              </w:numPr>
              <w:rPr>
                <w:rFonts w:eastAsiaTheme="minorEastAsia"/>
              </w:rPr>
            </w:pPr>
          </w:p>
        </w:tc>
        <w:tc>
          <w:tcPr>
            <w:tcW w:w="7840" w:type="dxa"/>
          </w:tcPr>
          <w:p w14:paraId="7C2D158D" w14:textId="77777777" w:rsidR="00101537" w:rsidRPr="003A248C" w:rsidRDefault="00101537" w:rsidP="0097042E">
            <w:pPr>
              <w:pStyle w:val="Proposal"/>
              <w:ind w:left="0" w:firstLine="0"/>
              <w:rPr>
                <w:rFonts w:eastAsiaTheme="minorEastAsia"/>
                <w:b w:val="0"/>
                <w:bCs w:val="0"/>
              </w:rPr>
            </w:pPr>
          </w:p>
        </w:tc>
      </w:tr>
    </w:tbl>
    <w:p w14:paraId="71D2683B" w14:textId="77777777" w:rsidR="00101537" w:rsidRDefault="00101537" w:rsidP="002044C6">
      <w:pPr>
        <w:rPr>
          <w:lang w:eastAsia="zh-CN"/>
        </w:rPr>
      </w:pPr>
    </w:p>
    <w:p w14:paraId="6BF22040" w14:textId="77777777" w:rsidR="00325766" w:rsidRPr="002044C6" w:rsidRDefault="00325766" w:rsidP="002044C6">
      <w:pPr>
        <w:rPr>
          <w:lang w:eastAsia="zh-CN"/>
        </w:rPr>
      </w:pPr>
    </w:p>
    <w:p w14:paraId="0F6D01AB" w14:textId="440E0379" w:rsidR="00EB0A29" w:rsidRDefault="00EB0A29" w:rsidP="00EB0A29">
      <w:pPr>
        <w:pStyle w:val="Heading2"/>
        <w:numPr>
          <w:ilvl w:val="1"/>
          <w:numId w:val="33"/>
        </w:numPr>
      </w:pPr>
      <w:r>
        <w:rPr>
          <w:sz w:val="20"/>
        </w:rPr>
        <w:t xml:space="preserve">  </w:t>
      </w:r>
      <w:r>
        <w:t>Issue 3-</w:t>
      </w:r>
      <w:r>
        <w:t xml:space="preserve">2 </w:t>
      </w:r>
      <w:r w:rsidRPr="00EB0A29">
        <w:t>Correction to the Rx beam reporting condition for DL-AoD</w:t>
      </w:r>
    </w:p>
    <w:p w14:paraId="1EA8D94B" w14:textId="6AC3B8CA" w:rsidR="002044C6" w:rsidRDefault="000C2EBE" w:rsidP="002044C6">
      <w:pPr>
        <w:rPr>
          <w:lang w:eastAsia="zh-CN"/>
        </w:rPr>
      </w:pPr>
      <w:r>
        <w:rPr>
          <w:lang w:eastAsia="zh-CN"/>
        </w:rPr>
        <w:t xml:space="preserve">In [2] </w:t>
      </w:r>
      <w:r w:rsidR="00BC753D">
        <w:rPr>
          <w:lang w:eastAsia="zh-CN"/>
        </w:rPr>
        <w:t xml:space="preserve">the CR captures that </w:t>
      </w:r>
      <w:r w:rsidR="00F273BA">
        <w:rPr>
          <w:lang w:eastAsia="zh-CN"/>
        </w:rPr>
        <w:t xml:space="preserve">2 </w:t>
      </w:r>
      <w:r w:rsidR="00BC753D">
        <w:rPr>
          <w:lang w:eastAsia="zh-CN"/>
        </w:rPr>
        <w:t xml:space="preserve">DL PRS RSRPP </w:t>
      </w:r>
      <w:r w:rsidR="00F273BA">
        <w:rPr>
          <w:lang w:eastAsia="zh-CN"/>
        </w:rPr>
        <w:t xml:space="preserve">measurement can be, if reported, </w:t>
      </w:r>
      <w:proofErr w:type="gramStart"/>
      <w:r w:rsidR="00427DF8">
        <w:rPr>
          <w:lang w:eastAsia="zh-CN"/>
        </w:rPr>
        <w:t xml:space="preserve">indicating  </w:t>
      </w:r>
      <w:proofErr w:type="spellStart"/>
      <w:r w:rsidR="00427DF8">
        <w:rPr>
          <w:lang w:eastAsia="zh-CN"/>
        </w:rPr>
        <w:t>thesame</w:t>
      </w:r>
      <w:proofErr w:type="spellEnd"/>
      <w:proofErr w:type="gramEnd"/>
      <w:r w:rsidR="00427DF8">
        <w:rPr>
          <w:lang w:eastAsia="zh-CN"/>
        </w:rPr>
        <w:t xml:space="preserve"> Rx beam index </w:t>
      </w:r>
      <w:r w:rsidR="006559FD">
        <w:rPr>
          <w:lang w:eastAsia="zh-CN"/>
        </w:rPr>
        <w:t xml:space="preserve">through </w:t>
      </w:r>
      <w:r w:rsidR="000422B1" w:rsidRPr="000422B1">
        <w:rPr>
          <w:i/>
          <w:iCs/>
          <w:lang w:eastAsia="zh-CN"/>
        </w:rPr>
        <w:t>DL-PRS-RxBeamIndex</w:t>
      </w:r>
      <w:r w:rsidR="000422B1">
        <w:rPr>
          <w:lang w:eastAsia="zh-CN"/>
        </w:rPr>
        <w:t xml:space="preserve">. </w:t>
      </w:r>
    </w:p>
    <w:p w14:paraId="5A8D2106" w14:textId="77777777" w:rsidR="000422B1" w:rsidRDefault="000422B1" w:rsidP="002044C6">
      <w:pPr>
        <w:rPr>
          <w:lang w:eastAsia="zh-CN"/>
        </w:rPr>
      </w:pPr>
    </w:p>
    <w:p w14:paraId="35B092ED" w14:textId="31677AF4" w:rsidR="000422B1" w:rsidRDefault="000422B1" w:rsidP="000422B1">
      <w:pPr>
        <w:rPr>
          <w:lang w:eastAsia="zh-CN"/>
        </w:rPr>
      </w:pPr>
      <w:r>
        <w:rPr>
          <w:lang w:eastAsia="zh-CN"/>
        </w:rPr>
        <w:t xml:space="preserve">Please comment below on whether the CRs can be endorsed as </w:t>
      </w:r>
      <w:proofErr w:type="gramStart"/>
      <w:r>
        <w:rPr>
          <w:lang w:eastAsia="zh-CN"/>
        </w:rPr>
        <w:t>is  or</w:t>
      </w:r>
      <w:proofErr w:type="gramEnd"/>
      <w:r>
        <w:rPr>
          <w:lang w:eastAsia="zh-CN"/>
        </w:rPr>
        <w:t xml:space="preserve"> potential changes needed:</w:t>
      </w:r>
    </w:p>
    <w:p w14:paraId="52015F9E" w14:textId="77777777" w:rsidR="000422B1" w:rsidRDefault="000422B1" w:rsidP="000422B1">
      <w:pPr>
        <w:rPr>
          <w:lang w:eastAsia="zh-CN"/>
        </w:rPr>
      </w:pPr>
    </w:p>
    <w:tbl>
      <w:tblPr>
        <w:tblStyle w:val="TableGrid"/>
        <w:tblW w:w="0" w:type="auto"/>
        <w:tblInd w:w="284" w:type="dxa"/>
        <w:tblLook w:val="04A0" w:firstRow="1" w:lastRow="0" w:firstColumn="1" w:lastColumn="0" w:noHBand="0" w:noVBand="1"/>
      </w:tblPr>
      <w:tblGrid>
        <w:gridCol w:w="1834"/>
        <w:gridCol w:w="7808"/>
      </w:tblGrid>
      <w:tr w:rsidR="000422B1" w14:paraId="0620FCC9" w14:textId="77777777" w:rsidTr="0097042E">
        <w:tc>
          <w:tcPr>
            <w:tcW w:w="1838" w:type="dxa"/>
            <w:shd w:val="clear" w:color="auto" w:fill="BDD6EE" w:themeFill="accent1" w:themeFillTint="66"/>
          </w:tcPr>
          <w:p w14:paraId="19BE2238" w14:textId="77777777" w:rsidR="000422B1" w:rsidRDefault="000422B1" w:rsidP="0097042E">
            <w:pPr>
              <w:pStyle w:val="3GPPAgreements"/>
              <w:numPr>
                <w:ilvl w:val="0"/>
                <w:numId w:val="0"/>
              </w:numPr>
            </w:pPr>
            <w:r>
              <w:t>Company</w:t>
            </w:r>
          </w:p>
        </w:tc>
        <w:tc>
          <w:tcPr>
            <w:tcW w:w="7840" w:type="dxa"/>
            <w:shd w:val="clear" w:color="auto" w:fill="BDD6EE" w:themeFill="accent1" w:themeFillTint="66"/>
          </w:tcPr>
          <w:p w14:paraId="2E336E73" w14:textId="77777777" w:rsidR="000422B1" w:rsidRDefault="000422B1" w:rsidP="0097042E">
            <w:pPr>
              <w:pStyle w:val="3GPPAgreements"/>
              <w:numPr>
                <w:ilvl w:val="0"/>
                <w:numId w:val="0"/>
              </w:numPr>
            </w:pPr>
            <w:r>
              <w:t>comment</w:t>
            </w:r>
          </w:p>
        </w:tc>
      </w:tr>
      <w:tr w:rsidR="000422B1" w14:paraId="3419DD8A" w14:textId="77777777" w:rsidTr="0097042E">
        <w:tc>
          <w:tcPr>
            <w:tcW w:w="1838" w:type="dxa"/>
          </w:tcPr>
          <w:p w14:paraId="3A8E57AD" w14:textId="77777777" w:rsidR="000422B1" w:rsidRPr="00BB5C1C" w:rsidRDefault="000422B1" w:rsidP="0097042E">
            <w:pPr>
              <w:pStyle w:val="3GPPAgreements"/>
              <w:numPr>
                <w:ilvl w:val="0"/>
                <w:numId w:val="0"/>
              </w:numPr>
              <w:rPr>
                <w:rFonts w:eastAsiaTheme="minorEastAsia"/>
              </w:rPr>
            </w:pPr>
          </w:p>
        </w:tc>
        <w:tc>
          <w:tcPr>
            <w:tcW w:w="7840" w:type="dxa"/>
          </w:tcPr>
          <w:p w14:paraId="01C66B95" w14:textId="77777777" w:rsidR="000422B1" w:rsidRPr="003A248C" w:rsidRDefault="000422B1" w:rsidP="0097042E">
            <w:pPr>
              <w:pStyle w:val="Proposal"/>
              <w:ind w:left="0" w:firstLine="0"/>
              <w:rPr>
                <w:rFonts w:eastAsiaTheme="minorEastAsia"/>
                <w:b w:val="0"/>
                <w:bCs w:val="0"/>
              </w:rPr>
            </w:pPr>
          </w:p>
        </w:tc>
      </w:tr>
    </w:tbl>
    <w:p w14:paraId="5F54C9A1" w14:textId="77777777" w:rsidR="000422B1" w:rsidRDefault="000422B1" w:rsidP="000422B1">
      <w:pPr>
        <w:rPr>
          <w:lang w:eastAsia="zh-CN"/>
        </w:rPr>
      </w:pPr>
    </w:p>
    <w:p w14:paraId="52C815CE" w14:textId="77777777" w:rsidR="000422B1" w:rsidRPr="002044C6" w:rsidRDefault="000422B1" w:rsidP="000422B1">
      <w:pPr>
        <w:rPr>
          <w:lang w:eastAsia="zh-CN"/>
        </w:rPr>
      </w:pPr>
    </w:p>
    <w:p w14:paraId="5D7A3E30" w14:textId="77777777" w:rsidR="000422B1" w:rsidRPr="000422B1" w:rsidRDefault="000422B1" w:rsidP="002044C6">
      <w:pPr>
        <w:rPr>
          <w:lang w:eastAsia="zh-CN"/>
        </w:rPr>
      </w:pPr>
    </w:p>
    <w:p w14:paraId="7F022040" w14:textId="300B462E" w:rsidR="00EB0A29" w:rsidRPr="00EB0A29" w:rsidRDefault="00EB0A29" w:rsidP="00EB0A29">
      <w:pPr>
        <w:pStyle w:val="Heading2"/>
        <w:numPr>
          <w:ilvl w:val="1"/>
          <w:numId w:val="33"/>
        </w:numPr>
      </w:pPr>
      <w:r>
        <w:rPr>
          <w:sz w:val="20"/>
        </w:rPr>
        <w:t xml:space="preserve">  </w:t>
      </w:r>
      <w:r>
        <w:t>Issue 3-</w:t>
      </w:r>
      <w:r>
        <w:t xml:space="preserve">3 </w:t>
      </w:r>
      <w:r w:rsidRPr="00EB0A29">
        <w:t>Clarification of the limitation of 24 RSRP/RSRPP reports for AOD</w:t>
      </w:r>
    </w:p>
    <w:p w14:paraId="2491F321" w14:textId="1A173F2B" w:rsidR="00705B92" w:rsidRDefault="000422B1" w:rsidP="00B17A6C">
      <w:pPr>
        <w:snapToGrid w:val="0"/>
        <w:spacing w:after="60" w:line="288" w:lineRule="auto"/>
        <w:jc w:val="both"/>
        <w:rPr>
          <w:sz w:val="20"/>
        </w:rPr>
      </w:pPr>
      <w:r w:rsidRPr="000422B1">
        <w:rPr>
          <w:sz w:val="20"/>
        </w:rPr>
        <w:t>In [4]</w:t>
      </w:r>
      <w:r w:rsidR="00A20ED1">
        <w:rPr>
          <w:sz w:val="20"/>
        </w:rPr>
        <w:t xml:space="preserve">, it is clarified that the number of </w:t>
      </w:r>
      <w:r w:rsidR="000362AD">
        <w:rPr>
          <w:sz w:val="20"/>
        </w:rPr>
        <w:t xml:space="preserve">RSRP/RSRPP measurements </w:t>
      </w:r>
      <w:r w:rsidR="00260368">
        <w:rPr>
          <w:sz w:val="20"/>
        </w:rPr>
        <w:t xml:space="preserve">limit of 24 only applies to DL AOD. </w:t>
      </w:r>
    </w:p>
    <w:p w14:paraId="5CE46E20" w14:textId="77777777" w:rsidR="00260368" w:rsidRDefault="00260368" w:rsidP="00260368">
      <w:pPr>
        <w:rPr>
          <w:lang w:eastAsia="zh-CN"/>
        </w:rPr>
      </w:pPr>
    </w:p>
    <w:p w14:paraId="4261ACEC" w14:textId="5BC911C7" w:rsidR="00260368" w:rsidRDefault="00260368" w:rsidP="00260368">
      <w:pPr>
        <w:rPr>
          <w:lang w:eastAsia="zh-CN"/>
        </w:rPr>
      </w:pPr>
      <w:r>
        <w:rPr>
          <w:lang w:eastAsia="zh-CN"/>
        </w:rPr>
        <w:t xml:space="preserve">Please comment below on whether the </w:t>
      </w:r>
      <w:proofErr w:type="gramStart"/>
      <w:r>
        <w:rPr>
          <w:lang w:eastAsia="zh-CN"/>
        </w:rPr>
        <w:t>CR</w:t>
      </w:r>
      <w:r>
        <w:rPr>
          <w:lang w:eastAsia="zh-CN"/>
        </w:rPr>
        <w:t xml:space="preserve"> </w:t>
      </w:r>
      <w:r>
        <w:rPr>
          <w:lang w:eastAsia="zh-CN"/>
        </w:rPr>
        <w:t xml:space="preserve"> can</w:t>
      </w:r>
      <w:proofErr w:type="gramEnd"/>
      <w:r>
        <w:rPr>
          <w:lang w:eastAsia="zh-CN"/>
        </w:rPr>
        <w:t xml:space="preserve"> be endorsed as is or potential changes needed:</w:t>
      </w:r>
    </w:p>
    <w:p w14:paraId="3833B7C5" w14:textId="77777777" w:rsidR="00260368" w:rsidRDefault="00260368" w:rsidP="00260368">
      <w:pPr>
        <w:rPr>
          <w:lang w:eastAsia="zh-CN"/>
        </w:rPr>
      </w:pPr>
    </w:p>
    <w:tbl>
      <w:tblPr>
        <w:tblStyle w:val="TableGrid"/>
        <w:tblW w:w="0" w:type="auto"/>
        <w:tblInd w:w="284" w:type="dxa"/>
        <w:tblLook w:val="04A0" w:firstRow="1" w:lastRow="0" w:firstColumn="1" w:lastColumn="0" w:noHBand="0" w:noVBand="1"/>
      </w:tblPr>
      <w:tblGrid>
        <w:gridCol w:w="1834"/>
        <w:gridCol w:w="7808"/>
      </w:tblGrid>
      <w:tr w:rsidR="00260368" w14:paraId="725520D3" w14:textId="77777777" w:rsidTr="0097042E">
        <w:tc>
          <w:tcPr>
            <w:tcW w:w="1838" w:type="dxa"/>
            <w:shd w:val="clear" w:color="auto" w:fill="BDD6EE" w:themeFill="accent1" w:themeFillTint="66"/>
          </w:tcPr>
          <w:p w14:paraId="331DD8D5" w14:textId="77777777" w:rsidR="00260368" w:rsidRDefault="00260368" w:rsidP="0097042E">
            <w:pPr>
              <w:pStyle w:val="3GPPAgreements"/>
              <w:numPr>
                <w:ilvl w:val="0"/>
                <w:numId w:val="0"/>
              </w:numPr>
            </w:pPr>
            <w:r>
              <w:t>Company</w:t>
            </w:r>
          </w:p>
        </w:tc>
        <w:tc>
          <w:tcPr>
            <w:tcW w:w="7840" w:type="dxa"/>
            <w:shd w:val="clear" w:color="auto" w:fill="BDD6EE" w:themeFill="accent1" w:themeFillTint="66"/>
          </w:tcPr>
          <w:p w14:paraId="1B143C2C" w14:textId="77777777" w:rsidR="00260368" w:rsidRDefault="00260368" w:rsidP="0097042E">
            <w:pPr>
              <w:pStyle w:val="3GPPAgreements"/>
              <w:numPr>
                <w:ilvl w:val="0"/>
                <w:numId w:val="0"/>
              </w:numPr>
            </w:pPr>
            <w:r>
              <w:t>comment</w:t>
            </w:r>
          </w:p>
        </w:tc>
      </w:tr>
      <w:tr w:rsidR="00260368" w14:paraId="06B2EA20" w14:textId="77777777" w:rsidTr="0097042E">
        <w:tc>
          <w:tcPr>
            <w:tcW w:w="1838" w:type="dxa"/>
          </w:tcPr>
          <w:p w14:paraId="46D92B60" w14:textId="77777777" w:rsidR="00260368" w:rsidRPr="00BB5C1C" w:rsidRDefault="00260368" w:rsidP="0097042E">
            <w:pPr>
              <w:pStyle w:val="3GPPAgreements"/>
              <w:numPr>
                <w:ilvl w:val="0"/>
                <w:numId w:val="0"/>
              </w:numPr>
              <w:rPr>
                <w:rFonts w:eastAsiaTheme="minorEastAsia"/>
              </w:rPr>
            </w:pPr>
          </w:p>
        </w:tc>
        <w:tc>
          <w:tcPr>
            <w:tcW w:w="7840" w:type="dxa"/>
          </w:tcPr>
          <w:p w14:paraId="1461CAEF" w14:textId="77777777" w:rsidR="00260368" w:rsidRPr="003A248C" w:rsidRDefault="00260368" w:rsidP="0097042E">
            <w:pPr>
              <w:pStyle w:val="Proposal"/>
              <w:ind w:left="0" w:firstLine="0"/>
              <w:rPr>
                <w:rFonts w:eastAsiaTheme="minorEastAsia"/>
                <w:b w:val="0"/>
                <w:bCs w:val="0"/>
              </w:rPr>
            </w:pPr>
          </w:p>
        </w:tc>
      </w:tr>
    </w:tbl>
    <w:p w14:paraId="18CC830D" w14:textId="77777777" w:rsidR="00260368" w:rsidRDefault="00260368" w:rsidP="00260368">
      <w:pPr>
        <w:rPr>
          <w:lang w:eastAsia="zh-CN"/>
        </w:rPr>
      </w:pPr>
    </w:p>
    <w:p w14:paraId="78CC50C0" w14:textId="77777777" w:rsidR="00260368" w:rsidRPr="002044C6" w:rsidRDefault="00260368" w:rsidP="00260368">
      <w:pPr>
        <w:rPr>
          <w:lang w:eastAsia="zh-CN"/>
        </w:rPr>
      </w:pPr>
    </w:p>
    <w:p w14:paraId="7387E7BD" w14:textId="77777777" w:rsidR="00260368" w:rsidRPr="000422B1" w:rsidRDefault="00260368" w:rsidP="00B17A6C">
      <w:pPr>
        <w:snapToGrid w:val="0"/>
        <w:spacing w:after="60" w:line="288" w:lineRule="auto"/>
        <w:jc w:val="both"/>
        <w:rPr>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Heading2"/>
        <w:numPr>
          <w:ilvl w:val="0"/>
          <w:numId w:val="33"/>
        </w:numPr>
      </w:pPr>
      <w:r>
        <w:t>Conclusion</w:t>
      </w:r>
    </w:p>
    <w:p w14:paraId="671C019E" w14:textId="6FD4F337" w:rsidR="00705B92" w:rsidRDefault="00CF5D7F">
      <w:pPr>
        <w:snapToGrid w:val="0"/>
        <w:spacing w:after="60" w:line="288" w:lineRule="auto"/>
        <w:jc w:val="both"/>
        <w:rPr>
          <w:sz w:val="20"/>
        </w:rPr>
      </w:pPr>
      <w:r>
        <w:rPr>
          <w:sz w:val="20"/>
        </w:rPr>
        <w:t xml:space="preserve"> </w:t>
      </w:r>
    </w:p>
    <w:p w14:paraId="38770488" w14:textId="77777777" w:rsidR="00705B92" w:rsidRDefault="00705B92">
      <w:pPr>
        <w:snapToGrid w:val="0"/>
        <w:spacing w:after="60" w:line="288" w:lineRule="auto"/>
        <w:jc w:val="both"/>
        <w:rPr>
          <w:sz w:val="20"/>
        </w:rPr>
      </w:pPr>
    </w:p>
    <w:p w14:paraId="48F5B218" w14:textId="77777777" w:rsidR="00705B92" w:rsidRPr="00CF5D7F" w:rsidRDefault="00963D5B" w:rsidP="00CF5D7F">
      <w:pPr>
        <w:pStyle w:val="Heading2"/>
        <w:numPr>
          <w:ilvl w:val="0"/>
          <w:numId w:val="33"/>
        </w:numPr>
      </w:pPr>
      <w:r w:rsidRPr="00CF5D7F">
        <w:t>References</w:t>
      </w:r>
    </w:p>
    <w:p w14:paraId="5A91602F" w14:textId="5FF95D66" w:rsidR="00705B92" w:rsidRPr="00261042" w:rsidRDefault="00963D5B">
      <w:pPr>
        <w:pStyle w:val="ListParagraph"/>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2208601</w:t>
      </w:r>
      <w:r w:rsidR="00261042">
        <w:rPr>
          <w:rFonts w:ascii="Times New Roman" w:hAnsi="Times New Roman" w:cs="Times New Roman"/>
        </w:rPr>
        <w:t xml:space="preserve">, </w:t>
      </w:r>
      <w:r w:rsidR="00394B5A" w:rsidRPr="00261042">
        <w:rPr>
          <w:rFonts w:ascii="Times New Roman" w:hAnsi="Times New Roman" w:cs="Times New Roman"/>
        </w:rPr>
        <w:t xml:space="preserve"> </w:t>
      </w:r>
      <w:r w:rsidRPr="00261042">
        <w:rPr>
          <w:rFonts w:ascii="Times New Roman" w:hAnsi="Times New Roman" w:cs="Times New Roman"/>
        </w:rPr>
        <w:t>Correction</w:t>
      </w:r>
      <w:proofErr w:type="gramEnd"/>
      <w:r w:rsidRPr="00261042">
        <w:rPr>
          <w:rFonts w:ascii="Times New Roman" w:hAnsi="Times New Roman" w:cs="Times New Roman"/>
        </w:rPr>
        <w:t xml:space="preserve"> on missing of DL PRS-RSRPP</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vivo</w:t>
      </w:r>
    </w:p>
    <w:p w14:paraId="33FAA7AB" w14:textId="2B8E5C5D" w:rsidR="00705B92" w:rsidRPr="00261042" w:rsidRDefault="00963D5B" w:rsidP="00261042">
      <w:pPr>
        <w:pStyle w:val="ListParagraph"/>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2209837</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Correction</w:t>
      </w:r>
      <w:proofErr w:type="gramEnd"/>
      <w:r w:rsidRPr="00261042">
        <w:rPr>
          <w:rFonts w:ascii="Times New Roman" w:hAnsi="Times New Roman" w:cs="Times New Roman"/>
        </w:rPr>
        <w:t xml:space="preserve"> to the Rx beam reporting condition for DL-AoD</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18190334" w14:textId="7D44AF8D" w:rsidR="00705B92" w:rsidRPr="00261042" w:rsidRDefault="00963D5B">
      <w:pPr>
        <w:pStyle w:val="ListParagraph"/>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2210211</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Adding</w:t>
      </w:r>
      <w:proofErr w:type="gramEnd"/>
      <w:r w:rsidRPr="00261042">
        <w:rPr>
          <w:rFonts w:ascii="Times New Roman" w:hAnsi="Times New Roman" w:cs="Times New Roman"/>
        </w:rPr>
        <w:t xml:space="preserve"> DL PRS-RSRPP to the applicable measurements</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Huawei, HiSilicon</w:t>
      </w:r>
    </w:p>
    <w:p w14:paraId="129CA0AF" w14:textId="29351A39" w:rsidR="00705B92" w:rsidRPr="00261042" w:rsidRDefault="00963D5B">
      <w:pPr>
        <w:pStyle w:val="ListParagraph"/>
        <w:numPr>
          <w:ilvl w:val="0"/>
          <w:numId w:val="38"/>
        </w:numPr>
        <w:rPr>
          <w:rFonts w:ascii="Times New Roman" w:hAnsi="Times New Roman" w:cs="Times New Roman"/>
        </w:rPr>
      </w:pPr>
      <w:r w:rsidRPr="00261042">
        <w:rPr>
          <w:rFonts w:ascii="Times New Roman" w:hAnsi="Times New Roman" w:cs="Times New Roman"/>
        </w:rPr>
        <w:t>R1-2210212</w:t>
      </w:r>
      <w:r w:rsidR="00261042" w:rsidRPr="00261042">
        <w:rPr>
          <w:rFonts w:ascii="Times New Roman" w:hAnsi="Times New Roman" w:cs="Times New Roman"/>
        </w:rPr>
        <w:t xml:space="preserve"> </w:t>
      </w:r>
      <w:r w:rsidRPr="00261042">
        <w:rPr>
          <w:rFonts w:ascii="Times New Roman" w:hAnsi="Times New Roman" w:cs="Times New Roman"/>
        </w:rPr>
        <w:t>Correction to the applied positioning method for RSRP and RSRPP reporting</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ZapfDingbats">
    <w:altName w:val="Wingding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1291748">
    <w:abstractNumId w:val="14"/>
  </w:num>
  <w:num w:numId="2" w16cid:durableId="1946502635">
    <w:abstractNumId w:val="1"/>
  </w:num>
  <w:num w:numId="3" w16cid:durableId="798689440">
    <w:abstractNumId w:val="0"/>
  </w:num>
  <w:num w:numId="4" w16cid:durableId="573664299">
    <w:abstractNumId w:val="23"/>
  </w:num>
  <w:num w:numId="5" w16cid:durableId="1144275591">
    <w:abstractNumId w:val="34"/>
  </w:num>
  <w:num w:numId="6" w16cid:durableId="937714987">
    <w:abstractNumId w:val="8"/>
  </w:num>
  <w:num w:numId="7" w16cid:durableId="493960794">
    <w:abstractNumId w:val="22"/>
  </w:num>
  <w:num w:numId="8" w16cid:durableId="1089619454">
    <w:abstractNumId w:val="20"/>
  </w:num>
  <w:num w:numId="9" w16cid:durableId="10768243">
    <w:abstractNumId w:val="29"/>
  </w:num>
  <w:num w:numId="10" w16cid:durableId="25659847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2042784417">
    <w:abstractNumId w:val="3"/>
  </w:num>
  <w:num w:numId="12" w16cid:durableId="373963931">
    <w:abstractNumId w:val="9"/>
  </w:num>
  <w:num w:numId="13" w16cid:durableId="1566061628">
    <w:abstractNumId w:val="7"/>
  </w:num>
  <w:num w:numId="14" w16cid:durableId="1175533448">
    <w:abstractNumId w:val="6"/>
  </w:num>
  <w:num w:numId="15" w16cid:durableId="661590201">
    <w:abstractNumId w:val="4"/>
  </w:num>
  <w:num w:numId="16" w16cid:durableId="1186409314">
    <w:abstractNumId w:val="27"/>
  </w:num>
  <w:num w:numId="17" w16cid:durableId="1426147118">
    <w:abstractNumId w:val="25"/>
  </w:num>
  <w:num w:numId="18" w16cid:durableId="589968941">
    <w:abstractNumId w:val="32"/>
  </w:num>
  <w:num w:numId="19" w16cid:durableId="1621835801">
    <w:abstractNumId w:val="13"/>
  </w:num>
  <w:num w:numId="20" w16cid:durableId="878710833">
    <w:abstractNumId w:val="24"/>
  </w:num>
  <w:num w:numId="21" w16cid:durableId="2062555445">
    <w:abstractNumId w:val="36"/>
  </w:num>
  <w:num w:numId="22" w16cid:durableId="58015413">
    <w:abstractNumId w:val="21"/>
  </w:num>
  <w:num w:numId="23" w16cid:durableId="208805250">
    <w:abstractNumId w:val="15"/>
  </w:num>
  <w:num w:numId="24" w16cid:durableId="1680351761">
    <w:abstractNumId w:val="17"/>
  </w:num>
  <w:num w:numId="25" w16cid:durableId="432092504">
    <w:abstractNumId w:val="16"/>
  </w:num>
  <w:num w:numId="26" w16cid:durableId="1173690208">
    <w:abstractNumId w:val="12"/>
  </w:num>
  <w:num w:numId="27" w16cid:durableId="140313993">
    <w:abstractNumId w:val="5"/>
  </w:num>
  <w:num w:numId="28" w16cid:durableId="1905292142">
    <w:abstractNumId w:val="37"/>
  </w:num>
  <w:num w:numId="29" w16cid:durableId="699628197">
    <w:abstractNumId w:val="31"/>
  </w:num>
  <w:num w:numId="30" w16cid:durableId="1802768334">
    <w:abstractNumId w:val="11"/>
  </w:num>
  <w:num w:numId="31" w16cid:durableId="1246765602">
    <w:abstractNumId w:val="28"/>
  </w:num>
  <w:num w:numId="32" w16cid:durableId="766460606">
    <w:abstractNumId w:val="19"/>
  </w:num>
  <w:num w:numId="33" w16cid:durableId="504436940">
    <w:abstractNumId w:val="30"/>
  </w:num>
  <w:num w:numId="34" w16cid:durableId="907610730">
    <w:abstractNumId w:val="35"/>
  </w:num>
  <w:num w:numId="35" w16cid:durableId="1166827605">
    <w:abstractNumId w:val="33"/>
  </w:num>
  <w:num w:numId="36" w16cid:durableId="1816025143">
    <w:abstractNumId w:val="10"/>
  </w:num>
  <w:num w:numId="37" w16cid:durableId="825245721">
    <w:abstractNumId w:val="26"/>
  </w:num>
  <w:num w:numId="38" w16cid:durableId="1452674410">
    <w:abstractNumId w:val="38"/>
  </w:num>
  <w:num w:numId="39" w16cid:durableId="1818841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iPriority w:val="99"/>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2">
    <w:name w:val="列出段落 Char"/>
    <w:basedOn w:val="DefaultParagraphFont"/>
    <w:uiPriority w:val="34"/>
    <w:qFormat/>
    <w:locked/>
    <w:rPr>
      <w:lang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251508"/>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37686">
      <w:bodyDiv w:val="1"/>
      <w:marLeft w:val="0"/>
      <w:marRight w:val="0"/>
      <w:marTop w:val="0"/>
      <w:marBottom w:val="0"/>
      <w:divBdr>
        <w:top w:val="none" w:sz="0" w:space="0" w:color="auto"/>
        <w:left w:val="none" w:sz="0" w:space="0" w:color="auto"/>
        <w:bottom w:val="none" w:sz="0" w:space="0" w:color="auto"/>
        <w:right w:val="none" w:sz="0" w:space="0" w:color="auto"/>
      </w:divBdr>
    </w:div>
    <w:div w:id="158213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DCF6C7-E893-48E6-BE15-726E1ADA785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7.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Florent Munier</cp:lastModifiedBy>
  <cp:revision>44</cp:revision>
  <dcterms:created xsi:type="dcterms:W3CDTF">2022-10-11T14:21:00Z</dcterms:created>
  <dcterms:modified xsi:type="dcterms:W3CDTF">2022-10-12T21:47:00Z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y fmtid="{D5CDD505-2E9C-101B-9397-08002B2CF9AE}" pid="15"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6" name="_2015_ms_pID_7253431">
    <vt:lpwstr>gWvLJL7WXmFEW2LPbz6Oidjwm9qSsek05WjDz5TrqvTIECcM00kJPz
zyNhc/YUtH/Ahz8MB95glDiR6BB81XCblobwwJmLbuERr+GZtW0podSK97VI70yal7cakFSo
LBHCREEtYBxrw9CQgsyVDv+QpkmzrFNbLHm1hBBnOTSpKv+y46CtgmUR8OhTwbhgUS6CL5Mk
sgRnVXuB9F3zgF2n</vt:lpwstr>
  </property>
</Properties>
</file>