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w:t>
            </w:r>
            <w:proofErr w:type="spellStart"/>
            <w:r>
              <w:rPr>
                <w:rFonts w:eastAsiaTheme="minorEastAsia"/>
                <w:kern w:val="2"/>
                <w:lang w:eastAsia="zh-CN"/>
              </w:rPr>
              <w:t>gNB</w:t>
            </w:r>
            <w:proofErr w:type="spellEnd"/>
            <w:r>
              <w:rPr>
                <w:rFonts w:eastAsiaTheme="minorEastAsia"/>
                <w:kern w:val="2"/>
                <w:lang w:eastAsia="zh-CN"/>
              </w:rPr>
              <w:t xml:space="preserve">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25pt" o:ole="">
                  <v:imagedata r:id="rId42" o:title=""/>
                </v:shape>
                <o:OLEObject Type="Embed" ProgID="Equation.3" ShapeID="_x0000_i1025" DrawAspect="Content" ObjectID="_1727167404"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F422D5">
        <w:tc>
          <w:tcPr>
            <w:tcW w:w="1529"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F422D5">
        <w:tc>
          <w:tcPr>
            <w:tcW w:w="1529"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F422D5">
        <w:tc>
          <w:tcPr>
            <w:tcW w:w="1529"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w:t>
            </w:r>
            <w:proofErr w:type="spellStart"/>
            <w:r>
              <w:rPr>
                <w:kern w:val="2"/>
                <w:lang w:eastAsia="zh-CN"/>
              </w:rPr>
              <w:t>SCell</w:t>
            </w:r>
            <w:proofErr w:type="spellEnd"/>
            <w:r>
              <w:rPr>
                <w:kern w:val="2"/>
                <w:lang w:eastAsia="zh-CN"/>
              </w:rPr>
              <w:t xml:space="preserve"> for that slot (the slot can support repetition on the </w:t>
            </w:r>
            <w:proofErr w:type="spellStart"/>
            <w:r>
              <w:rPr>
                <w:kern w:val="2"/>
                <w:lang w:eastAsia="zh-CN"/>
              </w:rPr>
              <w:t>PCell</w:t>
            </w:r>
            <w:proofErr w:type="spellEnd"/>
            <w:r>
              <w:rPr>
                <w:kern w:val="2"/>
                <w:lang w:eastAsia="zh-CN"/>
              </w:rPr>
              <w:t xml:space="preserve">) or constraining the </w:t>
            </w:r>
            <w:proofErr w:type="spellStart"/>
            <w:r>
              <w:rPr>
                <w:kern w:val="2"/>
                <w:lang w:eastAsia="zh-CN"/>
              </w:rPr>
              <w:t>gNB</w:t>
            </w:r>
            <w:proofErr w:type="spellEnd"/>
            <w:r>
              <w:rPr>
                <w:kern w:val="2"/>
                <w:lang w:eastAsia="zh-CN"/>
              </w:rPr>
              <w:t xml:space="preserve">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F422D5">
        <w:tc>
          <w:tcPr>
            <w:tcW w:w="1529" w:type="dxa"/>
            <w:tcBorders>
              <w:top w:val="single" w:sz="4" w:space="0" w:color="auto"/>
              <w:left w:val="single" w:sz="4" w:space="0" w:color="auto"/>
              <w:bottom w:val="single" w:sz="4" w:space="0" w:color="auto"/>
              <w:right w:val="single" w:sz="4" w:space="0" w:color="auto"/>
            </w:tcBorders>
          </w:tcPr>
          <w:p w14:paraId="46FEEDC5"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47209" w14:textId="77777777" w:rsidR="002908F8" w:rsidRPr="002D6399" w:rsidRDefault="002908F8" w:rsidP="00F422D5">
            <w:pPr>
              <w:spacing w:beforeLines="50" w:before="120" w:after="0"/>
              <w:rPr>
                <w:kern w:val="2"/>
                <w:lang w:eastAsia="zh-CN"/>
              </w:rPr>
            </w:pPr>
          </w:p>
        </w:tc>
      </w:tr>
      <w:tr w:rsidR="002908F8" w:rsidRPr="002D6399" w14:paraId="0DF4F151" w14:textId="77777777" w:rsidTr="00F422D5">
        <w:tc>
          <w:tcPr>
            <w:tcW w:w="1529" w:type="dxa"/>
            <w:tcBorders>
              <w:top w:val="single" w:sz="4" w:space="0" w:color="auto"/>
              <w:left w:val="single" w:sz="4" w:space="0" w:color="auto"/>
              <w:bottom w:val="single" w:sz="4" w:space="0" w:color="auto"/>
              <w:right w:val="single" w:sz="4" w:space="0" w:color="auto"/>
            </w:tcBorders>
          </w:tcPr>
          <w:p w14:paraId="6EE2B5D2" w14:textId="77777777" w:rsidR="002908F8" w:rsidRPr="002D6399" w:rsidRDefault="002908F8"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63466" w14:textId="77777777" w:rsidR="002908F8" w:rsidRPr="002D6399" w:rsidRDefault="002908F8" w:rsidP="00F422D5">
            <w:pPr>
              <w:spacing w:beforeLines="50" w:before="120" w:after="0"/>
              <w:jc w:val="both"/>
              <w:rPr>
                <w:iCs/>
                <w:kern w:val="2"/>
                <w:lang w:eastAsia="zh-CN"/>
              </w:rPr>
            </w:pPr>
          </w:p>
        </w:tc>
      </w:tr>
      <w:tr w:rsidR="002908F8" w:rsidRPr="002D6399" w14:paraId="3E3E0BAD" w14:textId="77777777" w:rsidTr="00F422D5">
        <w:tc>
          <w:tcPr>
            <w:tcW w:w="1529" w:type="dxa"/>
          </w:tcPr>
          <w:p w14:paraId="08DA761D" w14:textId="77777777" w:rsidR="002908F8" w:rsidRPr="002D6399" w:rsidRDefault="002908F8" w:rsidP="00F422D5">
            <w:pPr>
              <w:spacing w:beforeLines="50" w:before="120" w:after="0"/>
              <w:rPr>
                <w:iCs/>
                <w:kern w:val="2"/>
                <w:lang w:eastAsia="zh-CN"/>
              </w:rPr>
            </w:pPr>
          </w:p>
        </w:tc>
        <w:tc>
          <w:tcPr>
            <w:tcW w:w="8105" w:type="dxa"/>
          </w:tcPr>
          <w:p w14:paraId="3FF1E72A" w14:textId="77777777" w:rsidR="002908F8" w:rsidRPr="002D6399" w:rsidRDefault="002908F8" w:rsidP="00F422D5">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lastRenderedPageBreak/>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w:t>
            </w:r>
            <w:r>
              <w:rPr>
                <w:rFonts w:eastAsiaTheme="minorEastAsia"/>
                <w:kern w:val="2"/>
                <w:lang w:eastAsia="zh-CN"/>
              </w:rPr>
              <w:lastRenderedPageBreak/>
              <w:t>(due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 xml:space="preserve">e – the UE and the </w:t>
            </w:r>
            <w:proofErr w:type="spellStart"/>
            <w:r>
              <w:rPr>
                <w:iCs/>
                <w:kern w:val="2"/>
                <w:lang w:eastAsia="zh-CN"/>
              </w:rPr>
              <w:t>gNB</w:t>
            </w:r>
            <w:proofErr w:type="spellEnd"/>
            <w:r>
              <w:rPr>
                <w:iCs/>
                <w:kern w:val="2"/>
                <w:lang w:eastAsia="zh-CN"/>
              </w:rPr>
              <w:t xml:space="preserve">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Heading2"/>
              <w:numPr>
                <w:ilvl w:val="0"/>
                <w:numId w:val="0"/>
              </w:numPr>
              <w:ind w:left="1140"/>
            </w:pPr>
          </w:p>
          <w:p w14:paraId="2DBFAE57" w14:textId="77777777" w:rsidR="002908F8" w:rsidRPr="00B916EC" w:rsidRDefault="002908F8" w:rsidP="00F422D5">
            <w:pPr>
              <w:pStyle w:val="Heading3"/>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PUCCH-sSCellPattern</w:t>
                  </w:r>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4"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5"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lastRenderedPageBreak/>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w:t>
            </w:r>
            <w:r w:rsidRPr="009C1B5C">
              <w:rPr>
                <w:rFonts w:eastAsia="DengXian"/>
                <w:lang w:eastAsia="zh-CN"/>
              </w:rPr>
              <w:lastRenderedPageBreak/>
              <w:t xml:space="preserve">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6"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7"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8"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49"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0"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the </w:t>
      </w:r>
      <w:hyperlink r:id="rId51"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2" w:name="OLE_LINK3"/>
            <w:r>
              <w:rPr>
                <w:i/>
              </w:rPr>
              <w:t>n1PUCCH-AN</w:t>
            </w:r>
            <w:bookmarkEnd w:id="4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3" w:name="_Toc114216085"/>
            <w:r>
              <w:lastRenderedPageBreak/>
              <w:t>9.2.5.4</w:t>
            </w:r>
            <w:r>
              <w:tab/>
              <w:t>UE procedure for deferring HARQ-ACK for SPS PDSCH</w:t>
            </w:r>
            <w:bookmarkEnd w:id="4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4" w:name="OLE_LINK4"/>
            <w:r>
              <w:t>-</w:t>
            </w:r>
            <w:r>
              <w:tab/>
            </w:r>
            <w:bookmarkStart w:id="4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4"/>
            <w:bookmarkEnd w:id="4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3A719F26" w:rsidR="00FA0B90" w:rsidRPr="002D6399" w:rsidRDefault="00726A11" w:rsidP="00F422D5">
            <w:pPr>
              <w:spacing w:beforeLines="50" w:before="120" w:after="0"/>
              <w:rPr>
                <w:iCs/>
                <w:kern w:val="2"/>
                <w:lang w:eastAsia="zh-CN"/>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6" w:name="_Ref500241945"/>
            <w:bookmarkStart w:id="47" w:name="_Toc12021478"/>
            <w:bookmarkStart w:id="48" w:name="_Toc20311590"/>
            <w:bookmarkStart w:id="49" w:name="_Toc26719415"/>
            <w:bookmarkStart w:id="50" w:name="_Toc29894850"/>
            <w:bookmarkStart w:id="51" w:name="_Toc29899149"/>
            <w:bookmarkStart w:id="52" w:name="_Toc29899567"/>
            <w:bookmarkStart w:id="53" w:name="_Toc29917304"/>
            <w:bookmarkStart w:id="54" w:name="_Toc36498178"/>
            <w:bookmarkStart w:id="55" w:name="_Toc45699204"/>
            <w:bookmarkStart w:id="56" w:name="_Toc106629446"/>
            <w:bookmarkStart w:id="57" w:name="_Toc106629403"/>
            <w:bookmarkStart w:id="58" w:name="_Toc45699163"/>
            <w:bookmarkStart w:id="59" w:name="_Toc36498137"/>
            <w:bookmarkStart w:id="60" w:name="_Toc29917263"/>
            <w:bookmarkStart w:id="61" w:name="_Toc29899526"/>
            <w:bookmarkStart w:id="62" w:name="_Toc29899108"/>
            <w:bookmarkStart w:id="63" w:name="_Toc29894809"/>
            <w:bookmarkStart w:id="64" w:name="_Toc26719378"/>
            <w:bookmarkStart w:id="65" w:name="_Toc20311553"/>
            <w:bookmarkStart w:id="66" w:name="_Toc12021441"/>
            <w:r>
              <w:rPr>
                <w:rFonts w:ascii="Arial" w:hAnsi="Arial"/>
                <w:sz w:val="28"/>
              </w:rPr>
              <w:lastRenderedPageBreak/>
              <w:t>9.2.3</w:t>
            </w:r>
            <w:r>
              <w:rPr>
                <w:rFonts w:ascii="Arial" w:hAnsi="Arial"/>
                <w:sz w:val="28"/>
              </w:rPr>
              <w:tab/>
              <w:t>UE procedure for reporting HARQ-ACK</w:t>
            </w:r>
            <w:bookmarkEnd w:id="46"/>
            <w:bookmarkEnd w:id="47"/>
            <w:bookmarkEnd w:id="48"/>
            <w:bookmarkEnd w:id="49"/>
            <w:bookmarkEnd w:id="50"/>
            <w:bookmarkEnd w:id="51"/>
            <w:bookmarkEnd w:id="52"/>
            <w:bookmarkEnd w:id="53"/>
            <w:bookmarkEnd w:id="54"/>
            <w:bookmarkEnd w:id="55"/>
            <w:bookmarkEnd w:id="5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7"/>
            <w:bookmarkEnd w:id="58"/>
            <w:bookmarkEnd w:id="59"/>
            <w:bookmarkEnd w:id="60"/>
            <w:bookmarkEnd w:id="61"/>
            <w:bookmarkEnd w:id="62"/>
            <w:bookmarkEnd w:id="63"/>
            <w:bookmarkEnd w:id="64"/>
            <w:bookmarkEnd w:id="65"/>
            <w:bookmarkEnd w:id="6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77777777" w:rsidR="00726A11" w:rsidRDefault="00726A11" w:rsidP="00DC3656">
            <w:pPr>
              <w:spacing w:beforeLines="50" w:before="120" w:after="0"/>
              <w:rPr>
                <w:iCs/>
                <w:kern w:val="2"/>
                <w:lang w:eastAsia="zh-CN"/>
              </w:rPr>
            </w:pPr>
          </w:p>
        </w:tc>
        <w:tc>
          <w:tcPr>
            <w:tcW w:w="8105" w:type="dxa"/>
          </w:tcPr>
          <w:p w14:paraId="4DA435D3" w14:textId="77777777" w:rsidR="00726A11" w:rsidRDefault="00726A11" w:rsidP="00DC3656">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A4443F">
              <w:rPr>
                <w:b/>
                <w:bCs/>
                <w:i/>
                <w:iCs/>
                <w:lang w:eastAsia="zh-CN"/>
              </w:rPr>
              <w:pict w14:anchorId="1CB90322">
                <v:shape id="_x0000_i1026" type="#_x0000_t75" alt="" style="width:24.7pt;height:11.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4443F">
              <w:rPr>
                <w:b/>
                <w:bCs/>
                <w:i/>
                <w:iCs/>
                <w:lang w:eastAsia="zh-CN"/>
              </w:rPr>
              <w:pict w14:anchorId="00B9F929">
                <v:shape id="_x0000_i1027" type="#_x0000_t75" alt="" style="width:24.7pt;height:11.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4443F">
              <w:rPr>
                <w:b/>
                <w:bCs/>
                <w:i/>
                <w:iCs/>
                <w:lang w:eastAsia="zh-CN"/>
              </w:rPr>
              <w:pict w14:anchorId="79984A25">
                <v:shape id="_x0000_i1028" type="#_x0000_t75" alt="" style="width:24.7pt;height:11.8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F84B" w14:textId="77777777" w:rsidR="002B6BCF" w:rsidRDefault="002B6BCF">
      <w:r>
        <w:separator/>
      </w:r>
    </w:p>
  </w:endnote>
  <w:endnote w:type="continuationSeparator" w:id="0">
    <w:p w14:paraId="33B7B764" w14:textId="77777777" w:rsidR="002B6BCF" w:rsidRDefault="002B6BCF">
      <w:r>
        <w:continuationSeparator/>
      </w:r>
    </w:p>
  </w:endnote>
  <w:endnote w:type="continuationNotice" w:id="1">
    <w:p w14:paraId="59DB0C7C" w14:textId="77777777" w:rsidR="002B6BCF" w:rsidRDefault="002B6B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46378E" w:rsidRDefault="0046378E">
        <w:pPr>
          <w:pStyle w:val="Footer"/>
        </w:pPr>
        <w:r>
          <w:fldChar w:fldCharType="begin"/>
        </w:r>
        <w:r>
          <w:instrText>PAGE   \* MERGEFORMAT</w:instrText>
        </w:r>
        <w:r>
          <w:fldChar w:fldCharType="separate"/>
        </w:r>
        <w:r w:rsidR="00B22660" w:rsidRPr="00B22660">
          <w:rPr>
            <w:lang w:val="zh-CN" w:eastAsia="zh-CN"/>
          </w:rPr>
          <w:t>55</w:t>
        </w:r>
        <w:r>
          <w:fldChar w:fldCharType="end"/>
        </w:r>
      </w:p>
    </w:sdtContent>
  </w:sdt>
  <w:p w14:paraId="00A820FC" w14:textId="77777777" w:rsidR="0046378E" w:rsidRDefault="0046378E">
    <w:pPr>
      <w:pStyle w:val="Footer"/>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893" w14:textId="77777777" w:rsidR="002B6BCF" w:rsidRDefault="002B6BCF">
      <w:r>
        <w:separator/>
      </w:r>
    </w:p>
  </w:footnote>
  <w:footnote w:type="continuationSeparator" w:id="0">
    <w:p w14:paraId="5337E75E" w14:textId="77777777" w:rsidR="002B6BCF" w:rsidRDefault="002B6BCF">
      <w:r>
        <w:continuationSeparator/>
      </w:r>
    </w:p>
  </w:footnote>
  <w:footnote w:type="continuationNotice" w:id="1">
    <w:p w14:paraId="67E23938" w14:textId="77777777" w:rsidR="002B6BCF" w:rsidRDefault="002B6B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6378E" w:rsidRDefault="0046378E">
    <w:pPr>
      <w:pStyle w:val="Header"/>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361057024">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691974">
    <w:abstractNumId w:val="9"/>
  </w:num>
  <w:num w:numId="3" w16cid:durableId="15425301">
    <w:abstractNumId w:val="11"/>
  </w:num>
  <w:num w:numId="4" w16cid:durableId="754866984">
    <w:abstractNumId w:val="62"/>
  </w:num>
  <w:num w:numId="5" w16cid:durableId="2141682806">
    <w:abstractNumId w:val="28"/>
  </w:num>
  <w:num w:numId="6" w16cid:durableId="408578490">
    <w:abstractNumId w:val="6"/>
  </w:num>
  <w:num w:numId="7" w16cid:durableId="1136525945">
    <w:abstractNumId w:val="42"/>
  </w:num>
  <w:num w:numId="8" w16cid:durableId="410203510">
    <w:abstractNumId w:val="63"/>
  </w:num>
  <w:num w:numId="9" w16cid:durableId="2071927541">
    <w:abstractNumId w:val="44"/>
  </w:num>
  <w:num w:numId="10" w16cid:durableId="210968782">
    <w:abstractNumId w:val="38"/>
  </w:num>
  <w:num w:numId="11" w16cid:durableId="263611313">
    <w:abstractNumId w:val="7"/>
  </w:num>
  <w:num w:numId="12" w16cid:durableId="1302689747">
    <w:abstractNumId w:val="58"/>
  </w:num>
  <w:num w:numId="13" w16cid:durableId="768503878">
    <w:abstractNumId w:val="34"/>
  </w:num>
  <w:num w:numId="14" w16cid:durableId="857504411">
    <w:abstractNumId w:val="47"/>
  </w:num>
  <w:num w:numId="15" w16cid:durableId="608850439">
    <w:abstractNumId w:val="40"/>
  </w:num>
  <w:num w:numId="16" w16cid:durableId="1491561865">
    <w:abstractNumId w:val="22"/>
  </w:num>
  <w:num w:numId="17" w16cid:durableId="884020771">
    <w:abstractNumId w:val="3"/>
  </w:num>
  <w:num w:numId="18" w16cid:durableId="1851019990">
    <w:abstractNumId w:val="56"/>
  </w:num>
  <w:num w:numId="19" w16cid:durableId="1536230078">
    <w:abstractNumId w:val="2"/>
  </w:num>
  <w:num w:numId="20" w16cid:durableId="2031910104">
    <w:abstractNumId w:val="45"/>
  </w:num>
  <w:num w:numId="21" w16cid:durableId="1197086054">
    <w:abstractNumId w:val="46"/>
  </w:num>
  <w:num w:numId="22" w16cid:durableId="817186795">
    <w:abstractNumId w:val="61"/>
  </w:num>
  <w:num w:numId="23" w16cid:durableId="283733645">
    <w:abstractNumId w:val="23"/>
  </w:num>
  <w:num w:numId="24" w16cid:durableId="248734073">
    <w:abstractNumId w:val="37"/>
  </w:num>
  <w:num w:numId="25" w16cid:durableId="1352216798">
    <w:abstractNumId w:val="25"/>
  </w:num>
  <w:num w:numId="26" w16cid:durableId="1676304868">
    <w:abstractNumId w:val="21"/>
  </w:num>
  <w:num w:numId="27" w16cid:durableId="114640417">
    <w:abstractNumId w:val="20"/>
  </w:num>
  <w:num w:numId="28" w16cid:durableId="474107052">
    <w:abstractNumId w:val="54"/>
  </w:num>
  <w:num w:numId="29" w16cid:durableId="1891723288">
    <w:abstractNumId w:val="55"/>
  </w:num>
  <w:num w:numId="30" w16cid:durableId="1851066452">
    <w:abstractNumId w:val="5"/>
  </w:num>
  <w:num w:numId="31" w16cid:durableId="1852645790">
    <w:abstractNumId w:val="33"/>
  </w:num>
  <w:num w:numId="32" w16cid:durableId="1992052489">
    <w:abstractNumId w:val="49"/>
  </w:num>
  <w:num w:numId="33" w16cid:durableId="965812323">
    <w:abstractNumId w:val="43"/>
  </w:num>
  <w:num w:numId="34" w16cid:durableId="2058890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57657">
    <w:abstractNumId w:val="51"/>
  </w:num>
  <w:num w:numId="36" w16cid:durableId="1077748865">
    <w:abstractNumId w:val="10"/>
  </w:num>
  <w:num w:numId="37" w16cid:durableId="349333789">
    <w:abstractNumId w:val="48"/>
  </w:num>
  <w:num w:numId="38" w16cid:durableId="2087342777">
    <w:abstractNumId w:val="17"/>
  </w:num>
  <w:num w:numId="39" w16cid:durableId="2043362195">
    <w:abstractNumId w:val="32"/>
  </w:num>
  <w:num w:numId="40" w16cid:durableId="1861040340">
    <w:abstractNumId w:val="4"/>
  </w:num>
  <w:num w:numId="41" w16cid:durableId="587232140">
    <w:abstractNumId w:val="0"/>
  </w:num>
  <w:num w:numId="42" w16cid:durableId="16113993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785968">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9876117">
    <w:abstractNumId w:val="27"/>
  </w:num>
  <w:num w:numId="45" w16cid:durableId="1779107745">
    <w:abstractNumId w:val="11"/>
  </w:num>
  <w:num w:numId="46" w16cid:durableId="442922248">
    <w:abstractNumId w:val="11"/>
  </w:num>
  <w:num w:numId="47" w16cid:durableId="204185536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3533920">
    <w:abstractNumId w:val="11"/>
  </w:num>
  <w:num w:numId="49" w16cid:durableId="1985692836">
    <w:abstractNumId w:val="11"/>
  </w:num>
  <w:num w:numId="50" w16cid:durableId="41690401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179133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39066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7697129">
    <w:abstractNumId w:val="11"/>
  </w:num>
  <w:num w:numId="54" w16cid:durableId="312106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82199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430226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40074812">
    <w:abstractNumId w:val="18"/>
  </w:num>
  <w:num w:numId="58" w16cid:durableId="1291324373">
    <w:abstractNumId w:val="59"/>
  </w:num>
  <w:num w:numId="59" w16cid:durableId="2027052520">
    <w:abstractNumId w:val="31"/>
  </w:num>
  <w:num w:numId="60" w16cid:durableId="1289896832">
    <w:abstractNumId w:val="12"/>
  </w:num>
  <w:num w:numId="61" w16cid:durableId="201015666">
    <w:abstractNumId w:val="14"/>
  </w:num>
  <w:num w:numId="62" w16cid:durableId="919489634">
    <w:abstractNumId w:val="24"/>
  </w:num>
  <w:num w:numId="63" w16cid:durableId="733818074">
    <w:abstractNumId w:val="0"/>
  </w:num>
  <w:num w:numId="64" w16cid:durableId="1573465663">
    <w:abstractNumId w:val="16"/>
  </w:num>
  <w:num w:numId="65" w16cid:durableId="449784347">
    <w:abstractNumId w:val="36"/>
  </w:num>
  <w:num w:numId="66" w16cid:durableId="307176836">
    <w:abstractNumId w:val="1"/>
  </w:num>
  <w:num w:numId="67" w16cid:durableId="1240095038">
    <w:abstractNumId w:val="50"/>
  </w:num>
  <w:num w:numId="68" w16cid:durableId="853113681">
    <w:abstractNumId w:val="26"/>
  </w:num>
  <w:num w:numId="69" w16cid:durableId="327755097">
    <w:abstractNumId w:val="29"/>
  </w:num>
  <w:num w:numId="70" w16cid:durableId="280916087">
    <w:abstractNumId w:val="35"/>
  </w:num>
  <w:num w:numId="71" w16cid:durableId="1444349154">
    <w:abstractNumId w:val="52"/>
  </w:num>
  <w:num w:numId="72" w16cid:durableId="913784644">
    <w:abstractNumId w:val="41"/>
  </w:num>
  <w:num w:numId="73" w16cid:durableId="503522047">
    <w:abstractNumId w:val="60"/>
  </w:num>
  <w:num w:numId="74" w16cid:durableId="71776020">
    <w:abstractNumId w:val="53"/>
  </w:num>
  <w:num w:numId="75" w16cid:durableId="278952076">
    <w:abstractNumId w:val="57"/>
  </w:num>
  <w:num w:numId="76" w16cid:durableId="354698807">
    <w:abstractNumId w:val="39"/>
  </w:num>
  <w:num w:numId="77" w16cid:durableId="1295865213">
    <w:abstractNumId w:val="8"/>
  </w:num>
  <w:num w:numId="78" w16cid:durableId="839152835">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6B731840-B47A-4FE3-8033-929E4ED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D6B"/>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styleId="UnresolvedMention">
    <w:name w:val="Unresolved Mention"/>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600.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864.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5.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hyperlink" Target="https://www.3gpp.org/ftp/TSG_RAN/WG1_RL1/TSGR1_110b-e/Docs/R1-2208599.zip" TargetMode="External"/><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Inbox/drafts/8.3(NR_IIOT_URLLC_enh)/HARQ_enh/Draft%20CRs" TargetMode="External"/><Relationship Id="rId55" Type="http://schemas.openxmlformats.org/officeDocument/2006/relationships/hyperlink" Target="https://www.3gpp.org/ftp/TSG_RAN/WG1_RL1/TSGR1_110b-e/Docs/R1-22096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91E18-1C53-4DC9-A1C4-D56F44F38679}">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59</Pages>
  <Words>20693</Words>
  <Characters>117956</Characters>
  <Application>Microsoft Office Word</Application>
  <DocSecurity>0</DocSecurity>
  <Lines>982</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138373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cp:lastModifiedBy>
  <cp:revision>7</cp:revision>
  <cp:lastPrinted>1901-01-02T03:00:00Z</cp:lastPrinted>
  <dcterms:created xsi:type="dcterms:W3CDTF">2022-10-13T09:11:00Z</dcterms:created>
  <dcterms:modified xsi:type="dcterms:W3CDTF">2022-10-13T16:57:00Z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