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We try to support PUCCH cell switching in a way, that for slots with a PUCCH repetition the PUCCH cell pattern is not applicable (</w:t>
            </w:r>
            <w:proofErr w:type="gramStart"/>
            <w:r w:rsidRPr="00533A30">
              <w:rPr>
                <w:lang w:val="en-US" w:eastAsia="zh-CN"/>
              </w:rPr>
              <w:t>i.e.</w:t>
            </w:r>
            <w:proofErr w:type="gramEnd"/>
            <w:r w:rsidRPr="00533A30">
              <w:rPr>
                <w:lang w:val="en-US" w:eastAsia="zh-CN"/>
              </w:rPr>
              <w:t xml:space="preserv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 xml:space="preserve">For the first repetition, the </w:t>
            </w:r>
            <w:proofErr w:type="spellStart"/>
            <w:r w:rsidRPr="00533A30">
              <w:rPr>
                <w:lang w:val="en-US"/>
              </w:rPr>
              <w:t>gNB</w:t>
            </w:r>
            <w:proofErr w:type="spellEnd"/>
            <w:r w:rsidRPr="00533A30">
              <w:rPr>
                <w:lang w:val="en-US"/>
              </w:rPr>
              <w:t xml:space="preserve">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xml:space="preserve">) increases latency, (ii) increases complexity, (iii) may result in different understanding between </w:t>
      </w:r>
      <w:proofErr w:type="spellStart"/>
      <w:r>
        <w:rPr>
          <w:sz w:val="22"/>
          <w:szCs w:val="22"/>
          <w:lang w:eastAsia="zh-CN"/>
        </w:rPr>
        <w:t>gNB</w:t>
      </w:r>
      <w:proofErr w:type="spellEnd"/>
      <w:r>
        <w:rPr>
          <w:sz w:val="22"/>
          <w:szCs w:val="22"/>
          <w:lang w:eastAsia="zh-CN"/>
        </w:rPr>
        <w:t xml:space="preserve">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xml:space="preserve">) introduces complicated timeline issues, (ii) increases UE &amp; </w:t>
      </w:r>
      <w:proofErr w:type="spellStart"/>
      <w:r>
        <w:rPr>
          <w:sz w:val="22"/>
          <w:szCs w:val="22"/>
          <w:lang w:eastAsia="zh-CN"/>
        </w:rPr>
        <w:t>gNB</w:t>
      </w:r>
      <w:proofErr w:type="spellEnd"/>
      <w:r>
        <w:rPr>
          <w:sz w:val="22"/>
          <w:szCs w:val="22"/>
          <w:lang w:eastAsia="zh-CN"/>
        </w:rPr>
        <w:t xml:space="preserve"> complexity and (iii) ambiguity between </w:t>
      </w:r>
      <w:proofErr w:type="spellStart"/>
      <w:r>
        <w:rPr>
          <w:sz w:val="22"/>
          <w:szCs w:val="22"/>
          <w:lang w:eastAsia="zh-CN"/>
        </w:rPr>
        <w:t>gNB</w:t>
      </w:r>
      <w:proofErr w:type="spellEnd"/>
      <w:r>
        <w:rPr>
          <w:sz w:val="22"/>
          <w:szCs w:val="22"/>
          <w:lang w:eastAsia="zh-CN"/>
        </w:rPr>
        <w:t xml:space="preserve">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We try to support PUCCH cell switching in a way, that for slots with a PUCCH repetition the PUCCH cell pattern is not applicable (</w:t>
            </w:r>
            <w:proofErr w:type="gramStart"/>
            <w:r w:rsidRPr="00221019">
              <w:rPr>
                <w:highlight w:val="yellow"/>
                <w:lang w:val="en-US" w:eastAsia="zh-CN"/>
              </w:rPr>
              <w:t>i.e.</w:t>
            </w:r>
            <w:proofErr w:type="gramEnd"/>
            <w:r w:rsidRPr="00221019">
              <w:rPr>
                <w:highlight w:val="yellow"/>
                <w:lang w:val="en-US" w:eastAsia="zh-CN"/>
              </w:rPr>
              <w:t xml:space="preserv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w:t>
      </w:r>
      <w:proofErr w:type="gramStart"/>
      <w:r w:rsidR="00340C26" w:rsidRPr="00340C26">
        <w:rPr>
          <w:i/>
          <w:iCs/>
          <w:sz w:val="22"/>
          <w:szCs w:val="22"/>
          <w:lang w:eastAsia="zh-CN"/>
        </w:rPr>
        <w:t>i.e.</w:t>
      </w:r>
      <w:proofErr w:type="gramEnd"/>
      <w:r w:rsidR="00340C26" w:rsidRPr="00340C26">
        <w:rPr>
          <w:i/>
          <w:iCs/>
          <w:sz w:val="22"/>
          <w:szCs w:val="22"/>
          <w:lang w:eastAsia="zh-CN"/>
        </w:rPr>
        <w:t xml:space="preserv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w:t>
      </w:r>
      <w:proofErr w:type="gramStart"/>
      <w:r w:rsidRPr="00340C26">
        <w:rPr>
          <w:b/>
          <w:bCs/>
          <w:i/>
          <w:iCs/>
          <w:sz w:val="22"/>
          <w:szCs w:val="22"/>
          <w:lang w:eastAsia="zh-CN"/>
        </w:rPr>
        <w:t>looking</w:t>
      </w:r>
      <w:proofErr w:type="gramEnd"/>
      <w:r w:rsidRPr="00340C26">
        <w:rPr>
          <w:b/>
          <w:bCs/>
          <w:i/>
          <w:iCs/>
          <w:sz w:val="22"/>
          <w:szCs w:val="22"/>
          <w:lang w:eastAsia="zh-CN"/>
        </w:rPr>
        <w:t xml:space="preserve">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rediscussing the ‘Alt. 3’ and would suggest </w:t>
      </w:r>
      <w:proofErr w:type="gramStart"/>
      <w:r w:rsidR="00206AC7" w:rsidRPr="00206AC7">
        <w:rPr>
          <w:b/>
          <w:bCs/>
          <w:sz w:val="22"/>
          <w:szCs w:val="22"/>
          <w:lang w:eastAsia="zh-CN"/>
        </w:rPr>
        <w:t>to follow</w:t>
      </w:r>
      <w:proofErr w:type="gramEnd"/>
      <w:r w:rsidR="00206AC7" w:rsidRPr="00206AC7">
        <w:rPr>
          <w:b/>
          <w:bCs/>
          <w:sz w:val="22"/>
          <w:szCs w:val="22"/>
          <w:lang w:eastAsia="zh-CN"/>
        </w:rPr>
        <w:t xml:space="preserve">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w:t>
      </w:r>
      <w:proofErr w:type="gramStart"/>
      <w:r w:rsidRPr="00206AC7">
        <w:rPr>
          <w:b/>
          <w:bCs/>
          <w:i/>
          <w:iCs/>
          <w:lang w:val="en-US" w:eastAsia="zh-CN"/>
        </w:rPr>
        <w:t>i.e.</w:t>
      </w:r>
      <w:proofErr w:type="gramEnd"/>
      <w:r w:rsidRPr="00206AC7">
        <w:rPr>
          <w:b/>
          <w:bCs/>
          <w:i/>
          <w:iCs/>
          <w:lang w:val="en-US" w:eastAsia="zh-CN"/>
        </w:rPr>
        <w:t xml:space="preserv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DA2E1CD"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w:t>
      </w:r>
      <w:proofErr w:type="gramStart"/>
      <w:r w:rsidRPr="00206AC7">
        <w:rPr>
          <w:b/>
          <w:bCs/>
          <w:i/>
          <w:iCs/>
          <w:sz w:val="22"/>
          <w:szCs w:val="22"/>
          <w:lang w:val="en-US" w:eastAsia="zh-CN"/>
        </w:rPr>
        <w:t>i.e.</w:t>
      </w:r>
      <w:proofErr w:type="gramEnd"/>
      <w:r w:rsidRPr="00206AC7">
        <w:rPr>
          <w:b/>
          <w:bCs/>
          <w:i/>
          <w:iCs/>
          <w:sz w:val="22"/>
          <w:szCs w:val="22"/>
          <w:lang w:val="en-US" w:eastAsia="zh-CN"/>
        </w:rPr>
        <w:t xml:space="preserv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hint="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hint="eastAsia"/>
                <w:iCs/>
                <w:kern w:val="2"/>
                <w:lang w:eastAsia="zh-CN"/>
              </w:rPr>
            </w:pPr>
            <w:r>
              <w:rPr>
                <w:rFonts w:eastAsiaTheme="minorEastAsia"/>
                <w:iCs/>
                <w:kern w:val="2"/>
                <w:lang w:eastAsia="zh-CN"/>
              </w:rPr>
              <w:t>Also open to include Alt 2A.</w:t>
            </w: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 xml:space="preserve">is </w:t>
            </w:r>
            <w:proofErr w:type="gramStart"/>
            <w:r>
              <w:t>configured</w:t>
            </w:r>
            <w:r>
              <w:rPr>
                <w:lang w:val="en-US" w:eastAsia="zh-CN"/>
              </w:rPr>
              <w:t>;</w:t>
            </w:r>
            <w:proofErr w:type="gramEnd"/>
          </w:p>
          <w:p w14:paraId="30CE8B4C" w14:textId="77777777" w:rsidR="00C030F2" w:rsidRDefault="00C030F2" w:rsidP="00C030F2">
            <w:pPr>
              <w:ind w:left="567"/>
              <w:rPr>
                <w:lang w:eastAsia="zh-CN"/>
              </w:rPr>
            </w:pPr>
            <w:r>
              <w:rPr>
                <w:lang w:eastAsia="zh-CN"/>
              </w:rPr>
              <w:lastRenderedPageBreak/>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w:t>
            </w:r>
            <w:proofErr w:type="gramStart"/>
            <w:r>
              <w:rPr>
                <w:lang w:eastAsia="zh-CN"/>
              </w:rPr>
              <w:t>configured;</w:t>
            </w:r>
            <w:proofErr w:type="gramEnd"/>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w:t>
            </w:r>
            <w:r w:rsidRPr="009C1B5C">
              <w:rPr>
                <w:rFonts w:hint="eastAsia"/>
                <w:lang w:val="x-none" w:eastAsia="zh-CN"/>
              </w:rPr>
              <w:lastRenderedPageBreak/>
              <w:t xml:space="preserve">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42A89A"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52B7C8D3"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w:t>
                  </w:r>
                  <w:proofErr w:type="gramStart"/>
                  <w:r>
                    <w:rPr>
                      <w:rFonts w:ascii="Times New Roman" w:hAnsi="Times New Roman"/>
                    </w:rPr>
                    <w:t>i.e.</w:t>
                  </w:r>
                  <w:proofErr w:type="gramEnd"/>
                  <w:r>
                    <w:rPr>
                      <w:rFonts w:ascii="Times New Roman" w:hAnsi="Times New Roman"/>
                    </w:rPr>
                    <w:t xml:space="preserv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lastRenderedPageBreak/>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w:t>
      </w:r>
      <w:proofErr w:type="gramStart"/>
      <w:r>
        <w:rPr>
          <w:b/>
          <w:bCs/>
          <w:sz w:val="22"/>
          <w:szCs w:val="22"/>
          <w:lang w:eastAsia="zh-CN"/>
        </w:rPr>
        <w:t>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12DA0EF5"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w:t>
            </w:r>
            <w:proofErr w:type="spellStart"/>
            <w:r>
              <w:rPr>
                <w:lang w:val="en-US" w:eastAsia="ko-KR"/>
              </w:rPr>
              <w:t>gNB</w:t>
            </w:r>
            <w:proofErr w:type="spellEnd"/>
            <w:r>
              <w:rPr>
                <w:lang w:val="en-US" w:eastAsia="ko-KR"/>
              </w:rPr>
              <w:t xml:space="preserve">.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deferred. However, for a negative SR, the SPS HARQ-ACK is not </w:t>
            </w:r>
            <w:r w:rsidRPr="00B96EDF">
              <w:rPr>
                <w:highlight w:val="yellow"/>
                <w:lang w:val="en-US" w:eastAsia="ko-KR"/>
              </w:rPr>
              <w:lastRenderedPageBreak/>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 xml:space="preserve">To our understanding, the timeline issue only occurs for SR, but does not exist for other UCI(s), </w:t>
            </w:r>
            <w:proofErr w:type="gramStart"/>
            <w:r>
              <w:rPr>
                <w:rFonts w:eastAsiaTheme="minorEastAsia"/>
                <w:iCs/>
                <w:kern w:val="2"/>
                <w:lang w:eastAsia="zh-CN"/>
              </w:rPr>
              <w:t>e.g.</w:t>
            </w:r>
            <w:proofErr w:type="gramEnd"/>
            <w:r>
              <w:rPr>
                <w:rFonts w:eastAsiaTheme="minorEastAsia"/>
                <w:iCs/>
                <w:kern w:val="2"/>
                <w:lang w:eastAsia="zh-CN"/>
              </w:rPr>
              <w:t xml:space="preserve">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 xml:space="preserve">also drops the LP HARQ-ACK due to collision with semi-static DL, or whether the UE drops the LP HARQ-ACK first (due to collision with semi-static DL and as the UE knows the cancelation timeline cannot be fulfilled </w:t>
            </w:r>
            <w:proofErr w:type="gramStart"/>
            <w:r>
              <w:rPr>
                <w:iCs/>
                <w:kern w:val="2"/>
                <w:lang w:eastAsia="zh-CN"/>
              </w:rPr>
              <w:t>in order to</w:t>
            </w:r>
            <w:proofErr w:type="gramEnd"/>
            <w:r>
              <w:rPr>
                <w:iCs/>
                <w:kern w:val="2"/>
                <w:lang w:eastAsia="zh-CN"/>
              </w:rPr>
              <w:t xml:space="preserve">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hint="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02E35">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t>
            </w:r>
            <w:r>
              <w:rPr>
                <w:b/>
                <w:bCs/>
                <w:i/>
                <w:iCs/>
                <w:lang w:eastAsia="zh-CN"/>
              </w:rPr>
              <w:lastRenderedPageBreak/>
              <w:t>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02E35">
              <w:rPr>
                <w:b/>
                <w:bCs/>
                <w:i/>
                <w:iCs/>
                <w:lang w:eastAsia="zh-CN"/>
              </w:rPr>
              <w:pict w14:anchorId="00B9F929">
                <v:shape id="_x0000_i1026"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02E35">
              <w:rPr>
                <w:b/>
                <w:bCs/>
                <w:i/>
                <w:iCs/>
                <w:lang w:eastAsia="zh-CN"/>
              </w:rPr>
              <w:pict w14:anchorId="79984A25">
                <v:shape id="_x0000_i1027"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w:t>
            </w:r>
            <w:proofErr w:type="gramStart"/>
            <w:r>
              <w:rPr>
                <w:sz w:val="22"/>
                <w:szCs w:val="22"/>
                <w:lang w:eastAsia="zh-CN"/>
              </w:rPr>
              <w:t>time-line</w:t>
            </w:r>
            <w:proofErr w:type="gramEnd"/>
            <w:r>
              <w:rPr>
                <w:sz w:val="22"/>
                <w:szCs w:val="22"/>
                <w:lang w:eastAsia="zh-CN"/>
              </w:rPr>
              <w:t xml:space="preserv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lastRenderedPageBreak/>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w:t>
            </w:r>
            <w:proofErr w:type="gramStart"/>
            <w:r>
              <w:rPr>
                <w:kern w:val="2"/>
                <w:lang w:eastAsia="zh-CN"/>
              </w:rPr>
              <w:t>similar to</w:t>
            </w:r>
            <w:proofErr w:type="gramEnd"/>
            <w:r>
              <w:rPr>
                <w:kern w:val="2"/>
                <w:lang w:eastAsia="zh-CN"/>
              </w:rPr>
              <w:t xml:space="preserve">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9EA4" w14:textId="77777777" w:rsidR="00D10431" w:rsidRDefault="00D10431">
      <w:r>
        <w:separator/>
      </w:r>
    </w:p>
  </w:endnote>
  <w:endnote w:type="continuationSeparator" w:id="0">
    <w:p w14:paraId="51F082A2" w14:textId="77777777" w:rsidR="00D10431" w:rsidRDefault="00D10431">
      <w:r>
        <w:continuationSeparator/>
      </w:r>
    </w:p>
  </w:endnote>
  <w:endnote w:type="continuationNotice" w:id="1">
    <w:p w14:paraId="6002D526" w14:textId="77777777" w:rsidR="00D10431" w:rsidRDefault="00D10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宋体"/>
    <w:charset w:val="00"/>
    <w:family w:val="auto"/>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8806D5" w:rsidRDefault="008806D5">
        <w:pPr>
          <w:pStyle w:val="ad"/>
        </w:pPr>
        <w:r>
          <w:fldChar w:fldCharType="begin"/>
        </w:r>
        <w:r>
          <w:instrText>PAGE   \* MERGEFORMAT</w:instrText>
        </w:r>
        <w:r>
          <w:fldChar w:fldCharType="separate"/>
        </w:r>
        <w:r w:rsidR="004253E3" w:rsidRPr="004253E3">
          <w:rPr>
            <w:lang w:val="zh-CN" w:eastAsia="zh-CN"/>
          </w:rPr>
          <w:t>25</w:t>
        </w:r>
        <w:r>
          <w:fldChar w:fldCharType="end"/>
        </w:r>
      </w:p>
    </w:sdtContent>
  </w:sdt>
  <w:p w14:paraId="00A820FC" w14:textId="77777777" w:rsidR="008806D5" w:rsidRDefault="008806D5">
    <w:pPr>
      <w:pStyle w:val="ad"/>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7B14" w14:textId="77777777" w:rsidR="00D10431" w:rsidRDefault="00D10431">
      <w:r>
        <w:separator/>
      </w:r>
    </w:p>
  </w:footnote>
  <w:footnote w:type="continuationSeparator" w:id="0">
    <w:p w14:paraId="089E2C7C" w14:textId="77777777" w:rsidR="00D10431" w:rsidRDefault="00D10431">
      <w:r>
        <w:continuationSeparator/>
      </w:r>
    </w:p>
  </w:footnote>
  <w:footnote w:type="continuationNotice" w:id="1">
    <w:p w14:paraId="78A6DCAD" w14:textId="77777777" w:rsidR="00D10431" w:rsidRDefault="00D10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785974384">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148924">
    <w:abstractNumId w:val="8"/>
  </w:num>
  <w:num w:numId="3" w16cid:durableId="1168448512">
    <w:abstractNumId w:val="10"/>
  </w:num>
  <w:num w:numId="4" w16cid:durableId="1522281341">
    <w:abstractNumId w:val="56"/>
  </w:num>
  <w:num w:numId="5" w16cid:durableId="1106266805">
    <w:abstractNumId w:val="26"/>
  </w:num>
  <w:num w:numId="6" w16cid:durableId="1462532173">
    <w:abstractNumId w:val="6"/>
  </w:num>
  <w:num w:numId="7" w16cid:durableId="706754863">
    <w:abstractNumId w:val="39"/>
  </w:num>
  <w:num w:numId="8" w16cid:durableId="873421284">
    <w:abstractNumId w:val="57"/>
  </w:num>
  <w:num w:numId="9" w16cid:durableId="1411612122">
    <w:abstractNumId w:val="41"/>
  </w:num>
  <w:num w:numId="10" w16cid:durableId="1417165977">
    <w:abstractNumId w:val="36"/>
  </w:num>
  <w:num w:numId="11" w16cid:durableId="280766078">
    <w:abstractNumId w:val="7"/>
  </w:num>
  <w:num w:numId="12" w16cid:durableId="1520705504">
    <w:abstractNumId w:val="53"/>
  </w:num>
  <w:num w:numId="13" w16cid:durableId="1949849726">
    <w:abstractNumId w:val="32"/>
  </w:num>
  <w:num w:numId="14" w16cid:durableId="1981156164">
    <w:abstractNumId w:val="44"/>
  </w:num>
  <w:num w:numId="15" w16cid:durableId="1564636444">
    <w:abstractNumId w:val="37"/>
  </w:num>
  <w:num w:numId="16" w16cid:durableId="1873878937">
    <w:abstractNumId w:val="20"/>
  </w:num>
  <w:num w:numId="17" w16cid:durableId="888028866">
    <w:abstractNumId w:val="3"/>
  </w:num>
  <w:num w:numId="18" w16cid:durableId="1108115008">
    <w:abstractNumId w:val="52"/>
  </w:num>
  <w:num w:numId="19" w16cid:durableId="1667780181">
    <w:abstractNumId w:val="2"/>
  </w:num>
  <w:num w:numId="20" w16cid:durableId="1320690180">
    <w:abstractNumId w:val="42"/>
  </w:num>
  <w:num w:numId="21" w16cid:durableId="39938429">
    <w:abstractNumId w:val="43"/>
  </w:num>
  <w:num w:numId="22" w16cid:durableId="2107798735">
    <w:abstractNumId w:val="55"/>
  </w:num>
  <w:num w:numId="23" w16cid:durableId="1409114549">
    <w:abstractNumId w:val="21"/>
  </w:num>
  <w:num w:numId="24" w16cid:durableId="1513884320">
    <w:abstractNumId w:val="35"/>
  </w:num>
  <w:num w:numId="25" w16cid:durableId="899756284">
    <w:abstractNumId w:val="23"/>
  </w:num>
  <w:num w:numId="26" w16cid:durableId="729622612">
    <w:abstractNumId w:val="19"/>
  </w:num>
  <w:num w:numId="27" w16cid:durableId="669261463">
    <w:abstractNumId w:val="18"/>
  </w:num>
  <w:num w:numId="28" w16cid:durableId="787436452">
    <w:abstractNumId w:val="50"/>
  </w:num>
  <w:num w:numId="29" w16cid:durableId="829324905">
    <w:abstractNumId w:val="51"/>
  </w:num>
  <w:num w:numId="30" w16cid:durableId="2112628233">
    <w:abstractNumId w:val="5"/>
  </w:num>
  <w:num w:numId="31" w16cid:durableId="833183429">
    <w:abstractNumId w:val="31"/>
  </w:num>
  <w:num w:numId="32" w16cid:durableId="61758513">
    <w:abstractNumId w:val="46"/>
  </w:num>
  <w:num w:numId="33" w16cid:durableId="984626865">
    <w:abstractNumId w:val="40"/>
  </w:num>
  <w:num w:numId="34" w16cid:durableId="255595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7432125">
    <w:abstractNumId w:val="48"/>
  </w:num>
  <w:num w:numId="36" w16cid:durableId="1799955566">
    <w:abstractNumId w:val="9"/>
  </w:num>
  <w:num w:numId="37" w16cid:durableId="1589850366">
    <w:abstractNumId w:val="45"/>
  </w:num>
  <w:num w:numId="38" w16cid:durableId="1073115181">
    <w:abstractNumId w:val="15"/>
  </w:num>
  <w:num w:numId="39" w16cid:durableId="1443762686">
    <w:abstractNumId w:val="30"/>
  </w:num>
  <w:num w:numId="40" w16cid:durableId="624044951">
    <w:abstractNumId w:val="4"/>
  </w:num>
  <w:num w:numId="41" w16cid:durableId="1623878696">
    <w:abstractNumId w:val="0"/>
  </w:num>
  <w:num w:numId="42" w16cid:durableId="45633765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9827592">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0588150">
    <w:abstractNumId w:val="25"/>
  </w:num>
  <w:num w:numId="45" w16cid:durableId="1888762671">
    <w:abstractNumId w:val="10"/>
  </w:num>
  <w:num w:numId="46" w16cid:durableId="1042945992">
    <w:abstractNumId w:val="10"/>
  </w:num>
  <w:num w:numId="47" w16cid:durableId="2621520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8161213">
    <w:abstractNumId w:val="10"/>
  </w:num>
  <w:num w:numId="49" w16cid:durableId="280918620">
    <w:abstractNumId w:val="10"/>
  </w:num>
  <w:num w:numId="50" w16cid:durableId="18706948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072481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36964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1734886">
    <w:abstractNumId w:val="10"/>
  </w:num>
  <w:num w:numId="54" w16cid:durableId="663433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91479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70693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0208852">
    <w:abstractNumId w:val="16"/>
  </w:num>
  <w:num w:numId="58" w16cid:durableId="1695424688">
    <w:abstractNumId w:val="54"/>
  </w:num>
  <w:num w:numId="59" w16cid:durableId="1692799420">
    <w:abstractNumId w:val="29"/>
  </w:num>
  <w:num w:numId="60" w16cid:durableId="441344479">
    <w:abstractNumId w:val="11"/>
  </w:num>
  <w:num w:numId="61" w16cid:durableId="622662725">
    <w:abstractNumId w:val="13"/>
  </w:num>
  <w:num w:numId="62" w16cid:durableId="1249776033">
    <w:abstractNumId w:val="22"/>
  </w:num>
  <w:num w:numId="63" w16cid:durableId="1113089437">
    <w:abstractNumId w:val="0"/>
  </w:num>
  <w:num w:numId="64" w16cid:durableId="1438600140">
    <w:abstractNumId w:val="14"/>
  </w:num>
  <w:num w:numId="65" w16cid:durableId="1133981539">
    <w:abstractNumId w:val="34"/>
  </w:num>
  <w:num w:numId="66" w16cid:durableId="336277666">
    <w:abstractNumId w:val="1"/>
  </w:num>
  <w:num w:numId="67" w16cid:durableId="111020127">
    <w:abstractNumId w:val="47"/>
  </w:num>
  <w:num w:numId="68" w16cid:durableId="1501504186">
    <w:abstractNumId w:val="24"/>
  </w:num>
  <w:num w:numId="69" w16cid:durableId="1622567504">
    <w:abstractNumId w:val="27"/>
  </w:num>
  <w:num w:numId="70" w16cid:durableId="1371879387">
    <w:abstractNumId w:val="33"/>
  </w:num>
  <w:num w:numId="71" w16cid:durableId="408964295">
    <w:abstractNumId w:val="49"/>
  </w:num>
  <w:num w:numId="72" w16cid:durableId="693266755">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65E5BA1-9C2C-4D80-8083-F78B8A80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9267</Words>
  <Characters>52822</Characters>
  <Application>Microsoft Office Word</Application>
  <DocSecurity>0</DocSecurity>
  <Lines>440</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61966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NTT DOCOMO</cp:lastModifiedBy>
  <cp:revision>9</cp:revision>
  <cp:lastPrinted>1901-01-02T03:00:00Z</cp:lastPrinted>
  <dcterms:created xsi:type="dcterms:W3CDTF">2022-10-11T05:23:00Z</dcterms:created>
  <dcterms:modified xsi:type="dcterms:W3CDTF">2022-10-11T05:34:00Z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