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6A09817"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3C2487" w:rsidRPr="003C2487">
        <w:rPr>
          <w:rFonts w:ascii="Arial" w:hAnsi="Arial" w:cs="Arial"/>
          <w:b/>
          <w:bCs/>
          <w:sz w:val="28"/>
        </w:rPr>
        <w:t>10279</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19748551"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EC1E15">
        <w:rPr>
          <w:rFonts w:ascii="Arial" w:eastAsiaTheme="minorEastAsia" w:hAnsi="Arial"/>
          <w:lang w:val="en-US"/>
        </w:rPr>
        <w:t>3</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F4379A">
        <w:rPr>
          <w:rFonts w:ascii="Arial" w:eastAsia="Malgun Gothic" w:hAnsi="Arial"/>
          <w:bCs/>
          <w:lang w:val="en-US" w:eastAsia="en-US"/>
        </w:rPr>
        <w:t>#1</w:t>
      </w:r>
      <w:r>
        <w:rPr>
          <w:rFonts w:ascii="Arial" w:eastAsia="Malgun Gothic" w:hAnsi="Arial"/>
          <w:bCs/>
          <w:lang w:val="en-US" w:eastAsia="en-US"/>
        </w:rPr>
        <w:t xml:space="preserve">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4C938EE4"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sidR="001E4F7A">
        <w:rPr>
          <w:rFonts w:eastAsia="ＭＳ 明朝"/>
          <w:sz w:val="22"/>
          <w:szCs w:val="22"/>
          <w:lang w:val="en-US"/>
        </w:rPr>
        <w:t xml:space="preserve">AI </w:t>
      </w:r>
      <w:r w:rsidR="00AB7774">
        <w:rPr>
          <w:rFonts w:eastAsia="ＭＳ 明朝"/>
          <w:sz w:val="22"/>
          <w:szCs w:val="22"/>
          <w:lang w:val="en-US"/>
        </w:rPr>
        <w:t xml:space="preserve">8.16.3 and </w:t>
      </w:r>
      <w:r w:rsidR="001E4F7A">
        <w:rPr>
          <w:rFonts w:eastAsia="ＭＳ 明朝"/>
          <w:sz w:val="22"/>
          <w:szCs w:val="22"/>
          <w:lang w:val="en-US"/>
        </w:rPr>
        <w:t xml:space="preserve">AI </w:t>
      </w:r>
      <w:r w:rsidR="00EC1E15">
        <w:rPr>
          <w:rFonts w:eastAsia="ＭＳ 明朝"/>
          <w:sz w:val="22"/>
          <w:szCs w:val="22"/>
          <w:lang w:val="en-US"/>
        </w:rPr>
        <w:t>7.1</w:t>
      </w:r>
      <w:r>
        <w:rPr>
          <w:rFonts w:eastAsia="ＭＳ 明朝"/>
          <w:sz w:val="22"/>
          <w:szCs w:val="22"/>
          <w:lang w:val="en-US"/>
        </w:rPr>
        <w:t xml:space="preserve"> regarding UE features for </w:t>
      </w:r>
      <w:r w:rsidR="005B4609">
        <w:rPr>
          <w:rFonts w:eastAsia="ＭＳ 明朝"/>
          <w:sz w:val="22"/>
          <w:szCs w:val="22"/>
          <w:lang w:val="en-US"/>
        </w:rPr>
        <w:t>TEI17</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Batang"/>
                <w:sz w:val="20"/>
                <w:highlight w:val="cyan"/>
                <w:lang w:eastAsia="x-none"/>
              </w:rPr>
            </w:pPr>
            <w:r>
              <w:rPr>
                <w:highlight w:val="cyan"/>
                <w:lang w:eastAsia="x-none"/>
              </w:rPr>
              <w:t>[110bis-e-R17-UE-features-03] Remaining issues on Rel-17 UE features (</w:t>
            </w:r>
            <w:hyperlink r:id="rId13" w:history="1">
              <w:r>
                <w:rPr>
                  <w:rStyle w:val="af7"/>
                  <w:rFonts w:eastAsia="ＭＳ ゴシック"/>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4" w:history="1">
              <w:r>
                <w:rPr>
                  <w:rStyle w:val="af7"/>
                  <w:rFonts w:eastAsia="ＭＳ ゴシック"/>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5"/>
          <w:pgSz w:w="12240" w:h="15840"/>
          <w:pgMar w:top="851" w:right="1134" w:bottom="567" w:left="1134" w:header="720" w:footer="720" w:gutter="0"/>
          <w:cols w:space="720"/>
          <w:docGrid w:linePitch="326"/>
        </w:sectPr>
      </w:pPr>
    </w:p>
    <w:p w14:paraId="2C3AC010" w14:textId="6224430C" w:rsidR="006A3EF7" w:rsidRDefault="006A3EF7">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r w:rsidR="00395DC4">
        <w:rPr>
          <w:rFonts w:eastAsia="ＭＳ 明朝"/>
          <w:b/>
          <w:bCs/>
          <w:szCs w:val="24"/>
          <w:lang w:val="en-US"/>
        </w:rPr>
        <w:t xml:space="preserve"> on UE features for TEI17</w:t>
      </w:r>
    </w:p>
    <w:p w14:paraId="29FC4C7F" w14:textId="534C93CD" w:rsidR="00FB21CF" w:rsidRDefault="00EC1E15" w:rsidP="006A3EF7">
      <w:pPr>
        <w:pStyle w:val="2"/>
        <w:rPr>
          <w:rFonts w:eastAsia="ＭＳ 明朝"/>
          <w:b/>
          <w:bCs/>
          <w:szCs w:val="24"/>
          <w:lang w:val="en-US"/>
        </w:rPr>
      </w:pPr>
      <w:r>
        <w:rPr>
          <w:rFonts w:eastAsia="ＭＳ 明朝"/>
          <w:b/>
          <w:bCs/>
          <w:szCs w:val="24"/>
          <w:lang w:val="en-US"/>
        </w:rPr>
        <w:t>2</w:t>
      </w:r>
      <w:r w:rsidR="006A3EF7">
        <w:rPr>
          <w:rFonts w:eastAsia="ＭＳ 明朝"/>
          <w:b/>
          <w:bCs/>
          <w:szCs w:val="24"/>
          <w:lang w:val="en-US"/>
        </w:rPr>
        <w:t>.1</w:t>
      </w:r>
      <w:r w:rsidR="006A3EF7">
        <w:rPr>
          <w:rFonts w:eastAsia="ＭＳ 明朝"/>
          <w:b/>
          <w:bCs/>
          <w:szCs w:val="24"/>
          <w:lang w:val="en-US"/>
        </w:rPr>
        <w:tab/>
      </w:r>
      <w:r w:rsidR="002D4D45">
        <w:rPr>
          <w:rFonts w:eastAsia="ＭＳ 明朝"/>
          <w:b/>
          <w:bCs/>
          <w:szCs w:val="24"/>
          <w:lang w:val="en-US"/>
        </w:rPr>
        <w:t>39</w:t>
      </w:r>
      <w:r w:rsidR="00485200">
        <w:rPr>
          <w:rFonts w:eastAsia="ＭＳ 明朝"/>
          <w:b/>
          <w:bCs/>
          <w:szCs w:val="24"/>
          <w:lang w:val="en-US"/>
        </w:rPr>
        <w:t>-</w:t>
      </w:r>
      <w:r w:rsidR="00325850">
        <w:rPr>
          <w:rFonts w:eastAsia="ＭＳ 明朝"/>
          <w:b/>
          <w:bCs/>
          <w:szCs w:val="24"/>
          <w:lang w:val="en-US"/>
        </w:rPr>
        <w:t>3-</w:t>
      </w:r>
      <w:r w:rsidR="00485200">
        <w:rPr>
          <w:rFonts w:eastAsia="ＭＳ 明朝"/>
          <w:b/>
          <w:bCs/>
          <w:szCs w:val="24"/>
          <w:lang w:val="en-US"/>
        </w:rPr>
        <w:t xml:space="preserve">1: </w:t>
      </w:r>
      <w:r w:rsidR="00325850" w:rsidRPr="00325850">
        <w:rPr>
          <w:rFonts w:eastAsia="ＭＳ 明朝"/>
          <w:b/>
          <w:bCs/>
          <w:szCs w:val="24"/>
          <w:lang w:val="en-US"/>
        </w:rPr>
        <w:t>Stay on the target CC for SRS carrier switching</w:t>
      </w:r>
      <w:r w:rsidR="002D4D45">
        <w:rPr>
          <w:rFonts w:eastAsia="ＭＳ 明朝"/>
          <w:b/>
          <w:bCs/>
          <w:szCs w:val="24"/>
          <w:lang w:val="en-US"/>
        </w:rPr>
        <w:t>, and 39-</w:t>
      </w:r>
      <w:r w:rsidR="00325850">
        <w:rPr>
          <w:rFonts w:eastAsia="ＭＳ 明朝"/>
          <w:b/>
          <w:bCs/>
          <w:szCs w:val="24"/>
          <w:lang w:val="en-US"/>
        </w:rPr>
        <w:t>3-</w:t>
      </w:r>
      <w:r w:rsidR="002D4D45">
        <w:rPr>
          <w:rFonts w:eastAsia="ＭＳ 明朝"/>
          <w:b/>
          <w:bCs/>
          <w:szCs w:val="24"/>
          <w:lang w:val="en-US"/>
        </w:rPr>
        <w:t xml:space="preserve">2: </w:t>
      </w:r>
      <w:r w:rsidR="00325850" w:rsidRPr="00325850">
        <w:rPr>
          <w:rFonts w:eastAsia="ＭＳ 明朝"/>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ＭＳ 明朝" w:hAnsiTheme="majorHAnsi" w:cstheme="majorHAnsi"/>
                <w:szCs w:val="18"/>
                <w:highlight w:val="yellow"/>
                <w:lang w:eastAsia="ja-JP"/>
              </w:rPr>
            </w:pPr>
            <w:r w:rsidRPr="00F732D6">
              <w:rPr>
                <w:rFonts w:asciiTheme="majorHAnsi" w:eastAsia="ＭＳ 明朝" w:hAnsiTheme="majorHAnsi" w:cstheme="majorHAnsi" w:hint="eastAsia"/>
                <w:szCs w:val="18"/>
                <w:lang w:eastAsia="ja-JP"/>
              </w:rPr>
              <w:t>2</w:t>
            </w:r>
            <w:r w:rsidRPr="00F732D6">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Note2: If the UE does not indicate this capability, the UE falls back to Rel-15 behavior,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ＭＳ 明朝" w:hAnsiTheme="majorHAnsi" w:cstheme="majorHAnsi"/>
                <w:szCs w:val="18"/>
                <w:highlight w:val="yellow"/>
                <w:lang w:eastAsia="ja-JP"/>
              </w:rPr>
            </w:pPr>
            <w:r w:rsidRPr="00F732D6">
              <w:rPr>
                <w:rFonts w:asciiTheme="majorHAnsi" w:eastAsia="ＭＳ 明朝" w:hAnsiTheme="majorHAnsi" w:cstheme="majorHAnsi" w:hint="eastAsia"/>
                <w:szCs w:val="18"/>
                <w:lang w:eastAsia="ja-JP"/>
              </w:rPr>
              <w:t>2</w:t>
            </w:r>
            <w:r w:rsidRPr="00F732D6">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Note: If this new indication is missing, the UE defaults to Rel-15 behavior.</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For each “source-target” pair (as indicated by srs-SwitchingTimesListNR),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ＭＳ 明朝"/>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ＭＳ 明朝"/>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r>
              <w:rPr>
                <w:i/>
              </w:rPr>
              <w:t>srs-SwitchingTimesListNR</w:t>
            </w:r>
            <w:r>
              <w:t>), the UE can indicate which other bands in the band combination are affected by the SRS switch. If this new indication is missing, the UE defaults to Rel-15 behavior.</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r>
              <w:rPr>
                <w:i/>
              </w:rPr>
              <w:t>txSwitchImpactToRx</w:t>
            </w:r>
            <w:r>
              <w:t xml:space="preserve"> and </w:t>
            </w:r>
            <w:r>
              <w:rPr>
                <w:i/>
              </w:rPr>
              <w:t>txSwitchWithAnotherBand</w:t>
            </w:r>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16" w:history="1">
              <w:r>
                <w:rPr>
                  <w:rStyle w:val="af7"/>
                  <w:rFonts w:eastAsia="ＭＳ ゴシック"/>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afe"/>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ＭＳ 明朝"/>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ＭＳ 明朝"/>
                <w:sz w:val="22"/>
              </w:rPr>
              <w:t>Huawei, HiSilicon</w:t>
            </w:r>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 xml:space="preserve">There is one working assumption on UE behavior for different </w:t>
            </w:r>
            <w:proofErr w:type="gramStart"/>
            <w:r>
              <w:rPr>
                <w:rFonts w:eastAsiaTheme="minorEastAsia"/>
              </w:rPr>
              <w:t>time period</w:t>
            </w:r>
            <w:proofErr w:type="gramEnd"/>
            <w:r>
              <w:rPr>
                <w:rFonts w:eastAsiaTheme="minorEastAsia"/>
              </w:rPr>
              <w:t xml:space="preserve"> between SRS resource sets in the target CC.</w:t>
            </w:r>
          </w:p>
          <w:p w14:paraId="118D9D14" w14:textId="77777777" w:rsidR="00555DD7" w:rsidRDefault="00555DD7" w:rsidP="00555DD7">
            <w:pPr>
              <w:snapToGrid w:val="0"/>
              <w:ind w:left="420"/>
              <w:rPr>
                <w:rFonts w:eastAsia="Batang"/>
                <w:sz w:val="20"/>
                <w:szCs w:val="24"/>
                <w:lang w:eastAsia="en-GB"/>
              </w:rPr>
            </w:pPr>
            <w:r>
              <w:rPr>
                <w:rFonts w:eastAsia="Batang"/>
                <w:sz w:val="20"/>
                <w:szCs w:val="24"/>
                <w:highlight w:val="darkYellow"/>
              </w:rPr>
              <w:t>Working assumption</w:t>
            </w:r>
          </w:p>
          <w:p w14:paraId="00CFB693" w14:textId="77777777" w:rsidR="00555DD7" w:rsidRDefault="00555DD7" w:rsidP="00555DD7">
            <w:pPr>
              <w:snapToGrid w:val="0"/>
              <w:ind w:left="420"/>
              <w:rPr>
                <w:rFonts w:eastAsia="Batang"/>
                <w:sz w:val="20"/>
                <w:szCs w:val="24"/>
                <w:lang w:eastAsia="en-US"/>
              </w:rPr>
            </w:pPr>
            <w:r>
              <w:rPr>
                <w:rFonts w:eastAsia="Batang"/>
                <w:sz w:val="20"/>
                <w:szCs w:val="24"/>
              </w:rPr>
              <w:t>Introduce a new UE capability (from Rel-17) that indicates the UE behavior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Batang"/>
                <w:sz w:val="20"/>
                <w:szCs w:val="24"/>
              </w:rPr>
              <w:t>If the UE does not indicate this capability, the UE falls back to Rel-15 behavior,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w:t>
            </w:r>
            <w:proofErr w:type="gramStart"/>
            <w:r>
              <w:rPr>
                <w:rFonts w:eastAsiaTheme="minorEastAsia"/>
              </w:rPr>
              <w:t>time period</w:t>
            </w:r>
            <w:proofErr w:type="gramEnd"/>
            <w:r>
              <w:rPr>
                <w:rFonts w:eastAsiaTheme="minorEastAsia"/>
              </w:rPr>
              <w:t xml:space="preserve">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w:t>
            </w:r>
            <w:proofErr w:type="gramStart"/>
            <w:r>
              <w:rPr>
                <w:rFonts w:eastAsiaTheme="minorEastAsia"/>
              </w:rPr>
              <w:t>time period</w:t>
            </w:r>
            <w:proofErr w:type="gramEnd"/>
            <w:r>
              <w:rPr>
                <w:rFonts w:eastAsiaTheme="minorEastAsia"/>
              </w:rPr>
              <w:t>, a UE can stay on any CC by its implementation. Considering the intention is to allow gNB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SimSun"/>
                <w:bCs/>
              </w:rPr>
            </w:pPr>
            <w:r>
              <w:rPr>
                <w:bCs/>
              </w:rPr>
              <w:t>Confirm the following working assumption with modification in red:</w:t>
            </w:r>
          </w:p>
          <w:p w14:paraId="4660E22A" w14:textId="77777777" w:rsidR="00555DD7" w:rsidRDefault="00555DD7" w:rsidP="00555DD7">
            <w:pPr>
              <w:snapToGrid w:val="0"/>
              <w:ind w:left="420"/>
              <w:rPr>
                <w:rFonts w:eastAsia="Batang"/>
                <w:szCs w:val="22"/>
                <w:lang w:eastAsia="en-GB"/>
              </w:rPr>
            </w:pPr>
            <w:r>
              <w:rPr>
                <w:rFonts w:eastAsia="Batang"/>
                <w:szCs w:val="22"/>
                <w:highlight w:val="darkYellow"/>
              </w:rPr>
              <w:t>Working assumption</w:t>
            </w:r>
          </w:p>
          <w:p w14:paraId="0DD151C2" w14:textId="77777777" w:rsidR="00555DD7" w:rsidRDefault="00555DD7" w:rsidP="00555DD7">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SRS-StayInTargetCC</w:t>
            </w:r>
            <w:r>
              <w:rPr>
                <w:rFonts w:eastAsia="Batang"/>
                <w:color w:val="FF0000"/>
                <w:szCs w:val="22"/>
              </w:rPr>
              <w:t>’ described in R1-2207960</w:t>
            </w:r>
            <w:r>
              <w:rPr>
                <w:rFonts w:eastAsia="Batang"/>
                <w:szCs w:val="22"/>
              </w:rPr>
              <w:t xml:space="preserve">) that indicates the UE behavior is as </w:t>
            </w:r>
            <w:proofErr w:type="gramStart"/>
            <w:r>
              <w:rPr>
                <w:rFonts w:eastAsia="Batang"/>
                <w:szCs w:val="22"/>
              </w:rPr>
              <w:t>follows :</w:t>
            </w:r>
            <w:proofErr w:type="gramEnd"/>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the gNB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SimSun"/>
                <w:szCs w:val="22"/>
                <w:lang w:eastAsia="zh-CN"/>
              </w:rPr>
            </w:pPr>
            <w:r>
              <w:rPr>
                <w:rFonts w:eastAsia="Batang"/>
                <w:szCs w:val="22"/>
              </w:rPr>
              <w:t xml:space="preserve">If the UE does not indicate this capability, the UE falls back to Rel-15 behavior, that is </w:t>
            </w:r>
            <w:r>
              <w:rPr>
                <w:color w:val="FF0000"/>
                <w:szCs w:val="22"/>
              </w:rPr>
              <w:t>the gNB may assumes that</w:t>
            </w:r>
            <w:r>
              <w:rPr>
                <w:rFonts w:eastAsia="Batang"/>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30"/>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aff2"/>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afe"/>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433C6D7C" w:rsidR="001D08E4" w:rsidRPr="004A7F25" w:rsidRDefault="001D08E4">
            <w:pPr>
              <w:jc w:val="both"/>
              <w:rPr>
                <w:rFonts w:eastAsiaTheme="minorEastAsia"/>
                <w:szCs w:val="21"/>
                <w:lang w:val="en-US"/>
              </w:rPr>
            </w:pPr>
          </w:p>
        </w:tc>
        <w:tc>
          <w:tcPr>
            <w:tcW w:w="4494" w:type="pct"/>
          </w:tcPr>
          <w:p w14:paraId="16A8286E" w14:textId="374DEAFB" w:rsidR="001D08E4" w:rsidRPr="004A7F25" w:rsidRDefault="001D08E4">
            <w:pPr>
              <w:rPr>
                <w:rFonts w:eastAsiaTheme="minorEastAsia"/>
                <w:szCs w:val="21"/>
                <w:lang w:val="en-US"/>
              </w:rPr>
            </w:pPr>
          </w:p>
        </w:tc>
      </w:tr>
      <w:tr w:rsidR="001D08E4" w:rsidRPr="004A7F25" w14:paraId="0C64D67D" w14:textId="77777777">
        <w:tc>
          <w:tcPr>
            <w:tcW w:w="506" w:type="pct"/>
          </w:tcPr>
          <w:p w14:paraId="1274A786" w14:textId="77777777" w:rsidR="001D08E4" w:rsidRPr="004A7F25" w:rsidRDefault="001D08E4">
            <w:pPr>
              <w:jc w:val="both"/>
              <w:rPr>
                <w:rFonts w:eastAsiaTheme="minorEastAsia"/>
                <w:szCs w:val="21"/>
                <w:lang w:val="en-US"/>
              </w:rPr>
            </w:pPr>
          </w:p>
        </w:tc>
        <w:tc>
          <w:tcPr>
            <w:tcW w:w="4494" w:type="pct"/>
          </w:tcPr>
          <w:p w14:paraId="204B861D" w14:textId="77777777" w:rsidR="001D08E4" w:rsidRPr="004A7F25" w:rsidRDefault="001D08E4">
            <w:pPr>
              <w:rPr>
                <w:rFonts w:eastAsiaTheme="minorEastAsia"/>
                <w:szCs w:val="21"/>
                <w:lang w:val="en-US"/>
              </w:rPr>
            </w:pPr>
          </w:p>
        </w:tc>
      </w:tr>
      <w:tr w:rsidR="001D08E4" w:rsidRPr="004A7F25" w14:paraId="1F3742B6" w14:textId="77777777">
        <w:tc>
          <w:tcPr>
            <w:tcW w:w="506" w:type="pct"/>
          </w:tcPr>
          <w:p w14:paraId="1385259F" w14:textId="77777777" w:rsidR="001D08E4" w:rsidRPr="004A7F25" w:rsidRDefault="001D08E4">
            <w:pPr>
              <w:jc w:val="both"/>
              <w:rPr>
                <w:rFonts w:eastAsiaTheme="minorEastAsia"/>
                <w:szCs w:val="21"/>
                <w:lang w:val="en-US"/>
              </w:rPr>
            </w:pPr>
          </w:p>
        </w:tc>
        <w:tc>
          <w:tcPr>
            <w:tcW w:w="4494" w:type="pct"/>
          </w:tcPr>
          <w:p w14:paraId="7600FEAE" w14:textId="77777777" w:rsidR="001D08E4" w:rsidRPr="004A7F25" w:rsidRDefault="001D08E4">
            <w:pPr>
              <w:rPr>
                <w:rFonts w:eastAsiaTheme="minorEastAsia"/>
                <w:szCs w:val="21"/>
                <w:lang w:val="en-US"/>
              </w:rPr>
            </w:pP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30"/>
        <w:rPr>
          <w:b/>
          <w:bCs/>
          <w:szCs w:val="21"/>
          <w:lang w:val="en-US"/>
        </w:rPr>
      </w:pPr>
      <w:r>
        <w:rPr>
          <w:b/>
          <w:bCs/>
          <w:szCs w:val="21"/>
          <w:highlight w:val="yellow"/>
          <w:lang w:val="en-US"/>
        </w:rPr>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aff2"/>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aff2"/>
        <w:numPr>
          <w:ilvl w:val="1"/>
          <w:numId w:val="9"/>
        </w:numPr>
        <w:spacing w:afterLines="50" w:after="120"/>
        <w:ind w:leftChars="0"/>
        <w:jc w:val="both"/>
        <w:rPr>
          <w:b/>
          <w:bCs/>
          <w:szCs w:val="24"/>
          <w:lang w:val="en-US"/>
        </w:rPr>
      </w:pPr>
      <w:r w:rsidRPr="00420F66">
        <w:rPr>
          <w:b/>
          <w:bCs/>
          <w:szCs w:val="24"/>
          <w:lang w:val="en-US"/>
        </w:rPr>
        <w:lastRenderedPageBreak/>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gNB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aff2"/>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gNB may assume that </w:t>
      </w:r>
      <w:r w:rsidRPr="00420F66">
        <w:rPr>
          <w:b/>
          <w:bCs/>
          <w:szCs w:val="24"/>
          <w:lang w:val="en-US"/>
        </w:rPr>
        <w:t>UE switches back to source CC between the SRS resource sets</w:t>
      </w:r>
    </w:p>
    <w:tbl>
      <w:tblPr>
        <w:tblStyle w:val="afe"/>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2244FB2" w:rsidR="00420F66" w:rsidRPr="004A7F25" w:rsidRDefault="00420F66" w:rsidP="00A25E1A">
            <w:pPr>
              <w:jc w:val="both"/>
              <w:rPr>
                <w:rFonts w:eastAsiaTheme="minorEastAsia"/>
                <w:szCs w:val="21"/>
                <w:lang w:val="en-US"/>
              </w:rPr>
            </w:pPr>
          </w:p>
        </w:tc>
        <w:tc>
          <w:tcPr>
            <w:tcW w:w="4494" w:type="pct"/>
          </w:tcPr>
          <w:p w14:paraId="4DEF0989" w14:textId="06186D43" w:rsidR="00420F66" w:rsidRPr="004A7F25" w:rsidRDefault="00420F66" w:rsidP="00A25E1A">
            <w:pPr>
              <w:rPr>
                <w:rFonts w:eastAsiaTheme="minorEastAsia"/>
                <w:szCs w:val="21"/>
                <w:lang w:val="en-US"/>
              </w:rPr>
            </w:pPr>
          </w:p>
        </w:tc>
      </w:tr>
      <w:tr w:rsidR="00420F66" w:rsidRPr="004A7F25" w14:paraId="16A9C451" w14:textId="77777777" w:rsidTr="00A25E1A">
        <w:tc>
          <w:tcPr>
            <w:tcW w:w="506" w:type="pct"/>
          </w:tcPr>
          <w:p w14:paraId="4AA48FDD" w14:textId="77777777" w:rsidR="00420F66" w:rsidRPr="004A7F25" w:rsidRDefault="00420F66" w:rsidP="00A25E1A">
            <w:pPr>
              <w:jc w:val="both"/>
              <w:rPr>
                <w:rFonts w:eastAsiaTheme="minorEastAsia"/>
                <w:szCs w:val="21"/>
                <w:lang w:val="en-US"/>
              </w:rPr>
            </w:pPr>
          </w:p>
        </w:tc>
        <w:tc>
          <w:tcPr>
            <w:tcW w:w="4494" w:type="pct"/>
          </w:tcPr>
          <w:p w14:paraId="262FE67B" w14:textId="77777777" w:rsidR="00420F66" w:rsidRPr="004A7F25" w:rsidRDefault="00420F66" w:rsidP="00A25E1A">
            <w:pPr>
              <w:rPr>
                <w:rFonts w:eastAsiaTheme="minorEastAsia"/>
                <w:szCs w:val="21"/>
                <w:lang w:val="en-US"/>
              </w:rPr>
            </w:pPr>
          </w:p>
        </w:tc>
      </w:tr>
      <w:tr w:rsidR="00420F66" w:rsidRPr="004A7F25" w14:paraId="6E18FAF1" w14:textId="77777777" w:rsidTr="00A25E1A">
        <w:tc>
          <w:tcPr>
            <w:tcW w:w="506" w:type="pct"/>
          </w:tcPr>
          <w:p w14:paraId="09DD23C8" w14:textId="77777777" w:rsidR="00420F66" w:rsidRPr="004A7F25" w:rsidRDefault="00420F66" w:rsidP="00A25E1A">
            <w:pPr>
              <w:jc w:val="both"/>
              <w:rPr>
                <w:rFonts w:eastAsiaTheme="minorEastAsia"/>
                <w:szCs w:val="21"/>
                <w:lang w:val="en-US"/>
              </w:rPr>
            </w:pPr>
          </w:p>
        </w:tc>
        <w:tc>
          <w:tcPr>
            <w:tcW w:w="4494" w:type="pct"/>
          </w:tcPr>
          <w:p w14:paraId="03B266A8" w14:textId="77777777" w:rsidR="00420F66" w:rsidRPr="004A7F25" w:rsidRDefault="00420F66" w:rsidP="00A25E1A">
            <w:pPr>
              <w:rPr>
                <w:rFonts w:eastAsiaTheme="minorEastAsia"/>
                <w:szCs w:val="21"/>
                <w:lang w:val="en-US"/>
              </w:rPr>
            </w:pP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6391B3C" w14:textId="3BCF04C7" w:rsidR="00D77C75" w:rsidRDefault="00D77C75" w:rsidP="00E320E1">
      <w:pPr>
        <w:spacing w:afterLines="50" w:after="120"/>
        <w:jc w:val="both"/>
        <w:rPr>
          <w:rFonts w:eastAsia="ＭＳ 明朝"/>
          <w:sz w:val="22"/>
        </w:rPr>
      </w:pPr>
      <w:r>
        <w:rPr>
          <w:rFonts w:eastAsia="ＭＳ 明朝" w:hint="eastAsia"/>
          <w:sz w:val="22"/>
        </w:rPr>
        <w:t>[</w:t>
      </w:r>
      <w:r w:rsidR="00C04810">
        <w:rPr>
          <w:rFonts w:eastAsia="ＭＳ 明朝"/>
          <w:sz w:val="22"/>
        </w:rPr>
        <w:t>1</w:t>
      </w:r>
      <w:r>
        <w:rPr>
          <w:rFonts w:eastAsia="ＭＳ 明朝"/>
          <w:sz w:val="22"/>
        </w:rPr>
        <w:t>]</w:t>
      </w:r>
      <w:r>
        <w:rPr>
          <w:rFonts w:eastAsia="ＭＳ 明朝"/>
          <w:sz w:val="22"/>
        </w:rPr>
        <w:tab/>
        <w:t>R1-2207923</w:t>
      </w:r>
      <w:r>
        <w:rPr>
          <w:rFonts w:eastAsia="ＭＳ 明朝"/>
          <w:sz w:val="22"/>
        </w:rPr>
        <w:tab/>
      </w:r>
      <w:r w:rsidRPr="00D77C75">
        <w:rPr>
          <w:rFonts w:eastAsia="ＭＳ 明朝"/>
          <w:sz w:val="22"/>
        </w:rPr>
        <w:t>Updated RAN1 UE features list for Rel-17 NR after RAN1 #110 Thursday</w:t>
      </w:r>
      <w:r>
        <w:rPr>
          <w:rFonts w:eastAsia="ＭＳ 明朝"/>
          <w:sz w:val="22"/>
        </w:rPr>
        <w:tab/>
      </w:r>
      <w:r w:rsidRPr="00D77C75">
        <w:rPr>
          <w:rFonts w:eastAsia="ＭＳ 明朝"/>
          <w:sz w:val="22"/>
        </w:rPr>
        <w:t>Moderators (AT&amp;T, NTT DOCOMO, INC.)</w:t>
      </w:r>
    </w:p>
    <w:p w14:paraId="55182D81" w14:textId="698A892F" w:rsidR="00395DC4" w:rsidRDefault="00395DC4" w:rsidP="00E320E1">
      <w:pPr>
        <w:spacing w:afterLines="50" w:after="120"/>
        <w:jc w:val="both"/>
        <w:rPr>
          <w:rFonts w:eastAsia="ＭＳ 明朝"/>
          <w:sz w:val="22"/>
        </w:rPr>
      </w:pPr>
      <w:r w:rsidRPr="00395DC4">
        <w:rPr>
          <w:rFonts w:eastAsia="ＭＳ 明朝"/>
          <w:sz w:val="22"/>
        </w:rPr>
        <w:t>[</w:t>
      </w:r>
      <w:r w:rsidR="00EC1E15">
        <w:rPr>
          <w:rFonts w:eastAsia="ＭＳ 明朝"/>
          <w:sz w:val="22"/>
        </w:rPr>
        <w:t>2</w:t>
      </w:r>
      <w:r w:rsidRPr="00395DC4">
        <w:rPr>
          <w:rFonts w:eastAsia="ＭＳ 明朝"/>
          <w:sz w:val="22"/>
        </w:rPr>
        <w:t>]</w:t>
      </w:r>
      <w:r w:rsidRPr="00395DC4">
        <w:rPr>
          <w:rFonts w:eastAsia="ＭＳ 明朝"/>
          <w:sz w:val="22"/>
        </w:rPr>
        <w:tab/>
        <w:t>R1-2210100</w:t>
      </w:r>
      <w:r w:rsidRPr="00395DC4">
        <w:rPr>
          <w:rFonts w:eastAsia="ＭＳ 明朝"/>
          <w:sz w:val="22"/>
        </w:rPr>
        <w:tab/>
        <w:t>Remaining issues for Rel-17 UE features</w:t>
      </w:r>
      <w:r w:rsidRPr="00395DC4">
        <w:rPr>
          <w:rFonts w:eastAsia="ＭＳ 明朝"/>
          <w:sz w:val="22"/>
        </w:rPr>
        <w:tab/>
        <w:t>Nokia, Nokia Shanghai Bell</w:t>
      </w:r>
    </w:p>
    <w:p w14:paraId="32CE8FF4" w14:textId="039138B2" w:rsidR="00555DD7" w:rsidRPr="00555DD7" w:rsidRDefault="00555DD7" w:rsidP="00E320E1">
      <w:pPr>
        <w:spacing w:afterLines="50" w:after="120"/>
        <w:jc w:val="both"/>
        <w:rPr>
          <w:rFonts w:eastAsia="ＭＳ 明朝"/>
          <w:sz w:val="22"/>
        </w:rPr>
      </w:pPr>
      <w:r>
        <w:rPr>
          <w:rFonts w:eastAsia="ＭＳ 明朝"/>
          <w:sz w:val="22"/>
        </w:rPr>
        <w:t>[</w:t>
      </w:r>
      <w:r w:rsidR="00EC1E15">
        <w:rPr>
          <w:rFonts w:eastAsia="ＭＳ 明朝"/>
          <w:sz w:val="22"/>
        </w:rPr>
        <w:t>3</w:t>
      </w:r>
      <w:r>
        <w:rPr>
          <w:rFonts w:eastAsia="ＭＳ 明朝"/>
          <w:sz w:val="22"/>
        </w:rPr>
        <w:t>]</w:t>
      </w:r>
      <w:r>
        <w:rPr>
          <w:rFonts w:eastAsia="ＭＳ 明朝"/>
          <w:sz w:val="22"/>
        </w:rPr>
        <w:tab/>
        <w:t>R1-2209848</w:t>
      </w:r>
      <w:r>
        <w:rPr>
          <w:rFonts w:eastAsia="ＭＳ 明朝"/>
          <w:sz w:val="22"/>
        </w:rPr>
        <w:tab/>
      </w:r>
      <w:r w:rsidRPr="00555DD7">
        <w:rPr>
          <w:rFonts w:eastAsia="ＭＳ 明朝"/>
          <w:sz w:val="22"/>
        </w:rPr>
        <w:t>Discussion on SRS carrier switching</w:t>
      </w:r>
      <w:r>
        <w:rPr>
          <w:rFonts w:eastAsia="ＭＳ 明朝"/>
          <w:sz w:val="22"/>
        </w:rPr>
        <w:tab/>
      </w:r>
      <w:r w:rsidRPr="00555DD7">
        <w:rPr>
          <w:rFonts w:eastAsia="ＭＳ 明朝"/>
          <w:sz w:val="22"/>
        </w:rPr>
        <w:t>Huawei, HiSilicon</w:t>
      </w:r>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1ACC" w14:textId="77777777" w:rsidR="00A7787C" w:rsidRDefault="00A7787C">
      <w:r>
        <w:separator/>
      </w:r>
    </w:p>
  </w:endnote>
  <w:endnote w:type="continuationSeparator" w:id="0">
    <w:p w14:paraId="46C40AB2" w14:textId="77777777" w:rsidR="00A7787C" w:rsidRDefault="00A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96C2" w14:textId="77777777" w:rsidR="00A7787C" w:rsidRDefault="00A7787C">
      <w:r>
        <w:separator/>
      </w:r>
    </w:p>
  </w:footnote>
  <w:footnote w:type="continuationSeparator" w:id="0">
    <w:p w14:paraId="76149606" w14:textId="77777777" w:rsidR="00A7787C" w:rsidRDefault="00A7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03914124">
    <w:abstractNumId w:val="3"/>
  </w:num>
  <w:num w:numId="2" w16cid:durableId="1511603806">
    <w:abstractNumId w:val="5"/>
  </w:num>
  <w:num w:numId="3" w16cid:durableId="1252857267">
    <w:abstractNumId w:val="16"/>
  </w:num>
  <w:num w:numId="4" w16cid:durableId="800726300">
    <w:abstractNumId w:val="20"/>
  </w:num>
  <w:num w:numId="5" w16cid:durableId="2044284066">
    <w:abstractNumId w:val="4"/>
  </w:num>
  <w:num w:numId="6" w16cid:durableId="372534612">
    <w:abstractNumId w:val="11"/>
  </w:num>
  <w:num w:numId="7" w16cid:durableId="2073501506">
    <w:abstractNumId w:val="6"/>
  </w:num>
  <w:num w:numId="8" w16cid:durableId="652370991">
    <w:abstractNumId w:val="13"/>
  </w:num>
  <w:num w:numId="9" w16cid:durableId="988098998">
    <w:abstractNumId w:val="17"/>
  </w:num>
  <w:num w:numId="10" w16cid:durableId="417289836">
    <w:abstractNumId w:val="21"/>
  </w:num>
  <w:num w:numId="11" w16cid:durableId="1069232744">
    <w:abstractNumId w:val="18"/>
  </w:num>
  <w:num w:numId="12" w16cid:durableId="966397829">
    <w:abstractNumId w:val="2"/>
  </w:num>
  <w:num w:numId="13" w16cid:durableId="831027185">
    <w:abstractNumId w:val="9"/>
  </w:num>
  <w:num w:numId="14" w16cid:durableId="160243086">
    <w:abstractNumId w:val="8"/>
  </w:num>
  <w:num w:numId="15" w16cid:durableId="1412240930">
    <w:abstractNumId w:val="0"/>
  </w:num>
  <w:num w:numId="16" w16cid:durableId="955138667">
    <w:abstractNumId w:val="1"/>
  </w:num>
  <w:num w:numId="17" w16cid:durableId="393168162">
    <w:abstractNumId w:val="15"/>
  </w:num>
  <w:num w:numId="18" w16cid:durableId="987781521">
    <w:abstractNumId w:val="10"/>
  </w:num>
  <w:num w:numId="19" w16cid:durableId="2020694360">
    <w:abstractNumId w:val="7"/>
  </w:num>
  <w:num w:numId="20" w16cid:durableId="1877739390">
    <w:abstractNumId w:val="14"/>
  </w:num>
  <w:num w:numId="21" w16cid:durableId="2050106804">
    <w:abstractNumId w:val="12"/>
  </w:num>
  <w:num w:numId="22" w16cid:durableId="146453818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un\Documents\3GPP%20documents\RAN1%20tdocs\TSGR1_110b-e\Docs\R1-221010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cassribe\Documents\local%20documents\3GPP\RAN1\RAN1%20110\TSGR1_110\Docs\R1-22079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un\Documents\3GPP%20documents\RAN1%20tdocs\TSGR1_110b-e\Docs\R1-220984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1154</Words>
  <Characters>6583</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5</cp:revision>
  <cp:lastPrinted>2017-08-08T16:40:00Z</cp:lastPrinted>
  <dcterms:created xsi:type="dcterms:W3CDTF">2022-10-04T13:05:00Z</dcterms:created>
  <dcterms:modified xsi:type="dcterms:W3CDTF">2022-10-06T10:59:00Z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