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6B38F4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AB7774">
        <w:rPr>
          <w:rFonts w:ascii="Arial" w:hAnsi="Arial" w:cs="Arial" w:hint="eastAsia"/>
          <w:b/>
          <w:bCs/>
          <w:sz w:val="28"/>
        </w:rPr>
        <w:t>b</w:t>
      </w:r>
      <w:r w:rsidR="00AB7774">
        <w:rPr>
          <w:rFonts w:ascii="Arial" w:hAnsi="Arial" w:cs="Arial"/>
          <w:b/>
          <w:bCs/>
          <w:sz w:val="28"/>
        </w:rPr>
        <w:t>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5A080E" w:rsidRPr="005A080E">
        <w:rPr>
          <w:rFonts w:ascii="Arial" w:hAnsi="Arial" w:cs="Arial"/>
          <w:b/>
          <w:bCs/>
          <w:sz w:val="28"/>
        </w:rPr>
        <w:t>10276</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AB7774">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r w:rsidR="001F7736">
        <w:rPr>
          <w:rFonts w:eastAsia="ＭＳ 明朝"/>
          <w:sz w:val="22"/>
          <w:szCs w:val="22"/>
          <w:lang w:val="en-US"/>
        </w:rPr>
        <w:t>CovEnh</w:t>
      </w:r>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AE7FB1">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AE7FB1">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AE7FB1">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AE7FB1">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AE7FB1">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AE7FB1">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rsidP="001F7736">
            <w:pPr>
              <w:pStyle w:val="a6"/>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AE7FB1">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AE7FB1">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AE7FB1">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AE7FB1">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AE7FB1">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AE7FB1">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AE7FB1">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AE7FB1">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has the ability to restart DMRS bundling subject to semi-static </w:t>
                  </w:r>
                  <w:proofErr w:type="gramStart"/>
                  <w:r w:rsidRPr="00924427">
                    <w:rPr>
                      <w:rFonts w:asciiTheme="majorHAnsi" w:eastAsia="SimSun" w:hAnsiTheme="majorHAnsi" w:cstheme="majorHAnsi"/>
                      <w:color w:val="FF0000"/>
                      <w:sz w:val="14"/>
                      <w:szCs w:val="14"/>
                      <w:highlight w:val="yellow"/>
                      <w:lang w:eastAsia="zh-CN"/>
                    </w:rPr>
                    <w:t>events, unless</w:t>
                  </w:r>
                  <w:proofErr w:type="gramEnd"/>
                  <w:r w:rsidRPr="00924427">
                    <w:rPr>
                      <w:rFonts w:asciiTheme="majorHAnsi" w:eastAsia="SimSun" w:hAnsiTheme="majorHAnsi" w:cstheme="majorHAnsi"/>
                      <w:color w:val="FF0000"/>
                      <w:sz w:val="14"/>
                      <w:szCs w:val="14"/>
                      <w:highlight w:val="yellow"/>
                      <w:lang w:eastAsia="zh-CN"/>
                    </w:rPr>
                    <w:t xml:space="preserve">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has the ability to restart DMRS bundling subject to semi-static </w:t>
                  </w:r>
                  <w:proofErr w:type="gramStart"/>
                  <w:r w:rsidRPr="00924427">
                    <w:rPr>
                      <w:rFonts w:asciiTheme="majorHAnsi" w:eastAsia="SimSun" w:hAnsiTheme="majorHAnsi" w:cstheme="majorHAnsi"/>
                      <w:color w:val="FF0000"/>
                      <w:sz w:val="14"/>
                      <w:szCs w:val="14"/>
                      <w:highlight w:val="yellow"/>
                      <w:lang w:eastAsia="zh-CN"/>
                    </w:rPr>
                    <w:t>events, unless</w:t>
                  </w:r>
                  <w:proofErr w:type="gramEnd"/>
                  <w:r w:rsidRPr="00924427">
                    <w:rPr>
                      <w:rFonts w:asciiTheme="majorHAnsi" w:eastAsia="SimSun" w:hAnsiTheme="majorHAnsi" w:cstheme="majorHAnsi"/>
                      <w:color w:val="FF0000"/>
                      <w:sz w:val="14"/>
                      <w:szCs w:val="14"/>
                      <w:highlight w:val="yellow"/>
                      <w:lang w:eastAsia="zh-CN"/>
                    </w:rPr>
                    <w:t xml:space="preserve">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rsidP="001F7736">
            <w:pPr>
              <w:numPr>
                <w:ilvl w:val="0"/>
                <w:numId w:val="33"/>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982DB9">
        <w:tc>
          <w:tcPr>
            <w:tcW w:w="506" w:type="pct"/>
            <w:shd w:val="clear" w:color="auto" w:fill="F2F2F2" w:themeFill="background1" w:themeFillShade="F2"/>
          </w:tcPr>
          <w:p w14:paraId="2AA48B22" w14:textId="77777777" w:rsidR="00395DC4" w:rsidRPr="001505E7" w:rsidRDefault="00395DC4" w:rsidP="00982DB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982DB9">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982DB9">
        <w:tc>
          <w:tcPr>
            <w:tcW w:w="506" w:type="pct"/>
          </w:tcPr>
          <w:p w14:paraId="5BAF5837" w14:textId="42B37CBE" w:rsidR="00395DC4" w:rsidRPr="004A7F25" w:rsidRDefault="00764FC4" w:rsidP="00982DB9">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982DB9">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982DB9">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982DB9">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w:t>
            </w:r>
            <w:proofErr w:type="gramStart"/>
            <w:r>
              <w:rPr>
                <w:rFonts w:eastAsiaTheme="minorEastAsia"/>
                <w:szCs w:val="21"/>
                <w:lang w:val="en-US"/>
              </w:rPr>
              <w:t>i.e.</w:t>
            </w:r>
            <w:proofErr w:type="gramEnd"/>
            <w:r>
              <w:rPr>
                <w:rFonts w:eastAsiaTheme="minorEastAsia"/>
                <w:szCs w:val="21"/>
                <w:lang w:val="en-US"/>
              </w:rPr>
              <w:t xml:space="preserve"> 30-4g is enough for dynamic events).</w:t>
            </w:r>
          </w:p>
        </w:tc>
      </w:tr>
      <w:tr w:rsidR="00606006" w:rsidRPr="004A7F25" w14:paraId="06843502" w14:textId="77777777" w:rsidTr="00982DB9">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AE7FB1">
        <w:tc>
          <w:tcPr>
            <w:tcW w:w="506" w:type="pct"/>
            <w:shd w:val="clear" w:color="auto" w:fill="F2F2F2" w:themeFill="background1" w:themeFillShade="F2"/>
          </w:tcPr>
          <w:p w14:paraId="23EE1AC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AE7FB1">
        <w:tc>
          <w:tcPr>
            <w:tcW w:w="506" w:type="pct"/>
          </w:tcPr>
          <w:p w14:paraId="3463172D" w14:textId="57C6385E" w:rsidR="001F7736" w:rsidRPr="004A7F25" w:rsidRDefault="00764FC4" w:rsidP="00AE7FB1">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AE7FB1">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AE7FB1">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AE7FB1">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 xml:space="preserve">Alt 3 makes the most sense to </w:t>
            </w:r>
            <w:proofErr w:type="gramStart"/>
            <w:r>
              <w:rPr>
                <w:rFonts w:eastAsiaTheme="minorEastAsia"/>
                <w:szCs w:val="21"/>
                <w:lang w:val="en-US"/>
              </w:rPr>
              <w:t>us, since</w:t>
            </w:r>
            <w:proofErr w:type="gramEnd"/>
            <w:r>
              <w:rPr>
                <w:rFonts w:eastAsiaTheme="minorEastAsia"/>
                <w:szCs w:val="21"/>
                <w:lang w:val="en-US"/>
              </w:rPr>
              <w:t xml:space="preserv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AE7FB1">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ine with any alternative. The description of “Components” in FG30-4g is more important. </w:t>
            </w:r>
            <w:proofErr w:type="gramStart"/>
            <w:r>
              <w:rPr>
                <w:rFonts w:eastAsiaTheme="minorEastAsia"/>
                <w:szCs w:val="21"/>
                <w:lang w:val="en-US"/>
              </w:rPr>
              <w:t>As long as</w:t>
            </w:r>
            <w:proofErr w:type="gramEnd"/>
            <w:r>
              <w:rPr>
                <w:rFonts w:eastAsiaTheme="minorEastAsia"/>
                <w:szCs w:val="21"/>
                <w:lang w:val="en-US"/>
              </w:rPr>
              <w:t xml:space="preserve"> the description of “Feature group” briefly describes “Components”, any alternative is fine.</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AE7FB1">
        <w:tc>
          <w:tcPr>
            <w:tcW w:w="506" w:type="pct"/>
            <w:shd w:val="clear" w:color="auto" w:fill="F2F2F2" w:themeFill="background1" w:themeFillShade="F2"/>
          </w:tcPr>
          <w:p w14:paraId="41795E6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AE7FB1">
        <w:tc>
          <w:tcPr>
            <w:tcW w:w="506" w:type="pct"/>
          </w:tcPr>
          <w:p w14:paraId="23A3A5B2" w14:textId="75E11978" w:rsidR="001F7736" w:rsidRPr="004A7F25" w:rsidRDefault="008C39E4" w:rsidP="00AE7FB1">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AE7FB1">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AE7FB1">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AE7FB1">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lastRenderedPageBreak/>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ED02BD">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w:t>
                  </w:r>
                  <w:proofErr w:type="gramStart"/>
                  <w:r w:rsidRPr="00D33F91">
                    <w:rPr>
                      <w:rFonts w:ascii="Arial" w:eastAsia="SimSun" w:hAnsi="Arial" w:cs="Arial"/>
                      <w:strike/>
                      <w:color w:val="00B050"/>
                      <w:sz w:val="18"/>
                      <w:szCs w:val="18"/>
                      <w:lang w:eastAsia="zh-CN"/>
                    </w:rPr>
                    <w:t>e.g.</w:t>
                  </w:r>
                  <w:proofErr w:type="gramEnd"/>
                  <w:r w:rsidRPr="00D33F91">
                    <w:rPr>
                      <w:rFonts w:ascii="Arial" w:eastAsia="SimSun" w:hAnsi="Arial" w:cs="Arial"/>
                      <w:strike/>
                      <w:color w:val="00B050"/>
                      <w:sz w:val="18"/>
                      <w:szCs w:val="18"/>
                      <w:lang w:eastAsia="zh-CN"/>
                    </w:rPr>
                    <w:t xml:space="preserve">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AE7FB1">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Our preference is Alt.1-</w:t>
            </w:r>
            <w:proofErr w:type="gramStart"/>
            <w:r>
              <w:rPr>
                <w:rFonts w:eastAsiaTheme="minorEastAsia"/>
                <w:szCs w:val="21"/>
                <w:lang w:val="en-US"/>
              </w:rPr>
              <w:t>1, because</w:t>
            </w:r>
            <w:proofErr w:type="gramEnd"/>
            <w:r>
              <w:rPr>
                <w:rFonts w:eastAsiaTheme="minorEastAsia"/>
                <w:szCs w:val="21"/>
                <w:lang w:val="en-US"/>
              </w:rPr>
              <w:t xml:space="preserve"> it is aligned with RRC parameter description. </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AE7FB1">
        <w:tc>
          <w:tcPr>
            <w:tcW w:w="506" w:type="pct"/>
            <w:shd w:val="clear" w:color="auto" w:fill="F2F2F2" w:themeFill="background1" w:themeFillShade="F2"/>
          </w:tcPr>
          <w:p w14:paraId="57A55204"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AE7FB1">
        <w:tc>
          <w:tcPr>
            <w:tcW w:w="506" w:type="pct"/>
          </w:tcPr>
          <w:p w14:paraId="42A74D18" w14:textId="2723A46C" w:rsidR="001F7736" w:rsidRPr="004A7F25" w:rsidRDefault="008C39E4" w:rsidP="00AE7FB1">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AE7FB1">
            <w:pPr>
              <w:rPr>
                <w:rFonts w:eastAsiaTheme="minorEastAsia"/>
                <w:szCs w:val="21"/>
                <w:lang w:val="en-US"/>
              </w:rPr>
            </w:pPr>
            <w:r>
              <w:rPr>
                <w:rFonts w:eastAsiaTheme="minorEastAsia"/>
                <w:szCs w:val="21"/>
                <w:lang w:val="en-US"/>
              </w:rPr>
              <w:t>Okay with Alt 2.</w:t>
            </w:r>
          </w:p>
        </w:tc>
      </w:tr>
      <w:tr w:rsidR="000124B7" w:rsidRPr="004A7F25" w14:paraId="758FF932" w14:textId="77777777" w:rsidTr="00AE7FB1">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AE7FB1">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AE7FB1">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AE7FB1">
        <w:tc>
          <w:tcPr>
            <w:tcW w:w="506" w:type="pct"/>
            <w:shd w:val="clear" w:color="auto" w:fill="F2F2F2" w:themeFill="background1" w:themeFillShade="F2"/>
          </w:tcPr>
          <w:p w14:paraId="02DF8233" w14:textId="77777777" w:rsidR="001F7736" w:rsidRDefault="001F7736" w:rsidP="00AE7FB1">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53929440"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AE7FB1">
        <w:tc>
          <w:tcPr>
            <w:tcW w:w="506" w:type="pct"/>
          </w:tcPr>
          <w:p w14:paraId="09B36C63" w14:textId="1FED875C"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AE7FB1">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AE7FB1">
        <w:tc>
          <w:tcPr>
            <w:tcW w:w="506" w:type="pct"/>
          </w:tcPr>
          <w:p w14:paraId="4D73E15F" w14:textId="325B985C" w:rsidR="001F7736" w:rsidRDefault="002B4D1E" w:rsidP="00AE7FB1">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AE7FB1">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AE7FB1">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AE7FB1">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AE7FB1">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AE7FB1">
        <w:tc>
          <w:tcPr>
            <w:tcW w:w="506" w:type="pct"/>
            <w:shd w:val="clear" w:color="auto" w:fill="F2F2F2" w:themeFill="background1" w:themeFillShade="F2"/>
          </w:tcPr>
          <w:p w14:paraId="3F2EB03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AE7FB1">
        <w:tc>
          <w:tcPr>
            <w:tcW w:w="506" w:type="pct"/>
          </w:tcPr>
          <w:p w14:paraId="62581E40" w14:textId="14029939"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AE7FB1">
            <w:pPr>
              <w:rPr>
                <w:rFonts w:eastAsiaTheme="minorEastAsia"/>
                <w:szCs w:val="21"/>
                <w:lang w:val="en-US"/>
              </w:rPr>
            </w:pPr>
            <w:r>
              <w:rPr>
                <w:rFonts w:eastAsiaTheme="minorEastAsia"/>
                <w:szCs w:val="21"/>
                <w:lang w:val="en-US"/>
              </w:rPr>
              <w:t>Support</w:t>
            </w:r>
          </w:p>
        </w:tc>
      </w:tr>
      <w:tr w:rsidR="001F7736" w14:paraId="4E884D4F" w14:textId="77777777" w:rsidTr="00AE7FB1">
        <w:tc>
          <w:tcPr>
            <w:tcW w:w="506" w:type="pct"/>
          </w:tcPr>
          <w:p w14:paraId="73CD8CED" w14:textId="72D5737F" w:rsidR="001F7736" w:rsidRDefault="00B768BB" w:rsidP="00AE7FB1">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AE7FB1">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AE7FB1">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AE7FB1">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0"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AE7FB1">
        <w:tc>
          <w:tcPr>
            <w:tcW w:w="506" w:type="pct"/>
            <w:shd w:val="clear" w:color="auto" w:fill="F2F2F2" w:themeFill="background1" w:themeFillShade="F2"/>
          </w:tcPr>
          <w:bookmarkEnd w:id="10"/>
          <w:p w14:paraId="671B1CA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AE7FB1">
        <w:tc>
          <w:tcPr>
            <w:tcW w:w="506" w:type="pct"/>
          </w:tcPr>
          <w:p w14:paraId="7AFAFBE9" w14:textId="55B40B53"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AE7FB1">
            <w:pPr>
              <w:rPr>
                <w:rFonts w:eastAsiaTheme="minorEastAsia"/>
                <w:szCs w:val="21"/>
                <w:lang w:val="en-US"/>
              </w:rPr>
            </w:pPr>
            <w:r>
              <w:rPr>
                <w:rFonts w:eastAsiaTheme="minorEastAsia"/>
                <w:szCs w:val="21"/>
                <w:lang w:val="en-US"/>
              </w:rPr>
              <w:t>Alt 2</w:t>
            </w:r>
          </w:p>
        </w:tc>
      </w:tr>
      <w:tr w:rsidR="001F7736" w14:paraId="1A4B37EF" w14:textId="77777777" w:rsidTr="00AE7FB1">
        <w:tc>
          <w:tcPr>
            <w:tcW w:w="506" w:type="pct"/>
          </w:tcPr>
          <w:p w14:paraId="29089E0E" w14:textId="4E45F00E" w:rsidR="001F7736" w:rsidRDefault="004353F7" w:rsidP="00AE7FB1">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AE7FB1">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AE7FB1">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AE7FB1">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lastRenderedPageBreak/>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AE7FB1">
        <w:tc>
          <w:tcPr>
            <w:tcW w:w="506" w:type="pct"/>
            <w:shd w:val="clear" w:color="auto" w:fill="F2F2F2" w:themeFill="background1" w:themeFillShade="F2"/>
          </w:tcPr>
          <w:p w14:paraId="7DF367FA"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AE7FB1">
        <w:tc>
          <w:tcPr>
            <w:tcW w:w="506" w:type="pct"/>
          </w:tcPr>
          <w:p w14:paraId="421E9C15" w14:textId="6428797D"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AE7FB1">
            <w:pPr>
              <w:rPr>
                <w:rFonts w:eastAsiaTheme="minorEastAsia"/>
                <w:szCs w:val="21"/>
                <w:lang w:val="en-US"/>
              </w:rPr>
            </w:pPr>
            <w:r>
              <w:rPr>
                <w:rFonts w:eastAsiaTheme="minorEastAsia"/>
                <w:szCs w:val="21"/>
                <w:lang w:val="en-US"/>
              </w:rPr>
              <w:t>Same granularity as 40-4a/b/c/d</w:t>
            </w:r>
          </w:p>
        </w:tc>
      </w:tr>
      <w:tr w:rsidR="001F7736" w14:paraId="20EC2143" w14:textId="77777777" w:rsidTr="00AE7FB1">
        <w:tc>
          <w:tcPr>
            <w:tcW w:w="506" w:type="pct"/>
          </w:tcPr>
          <w:p w14:paraId="45B82DB2" w14:textId="3C8B450A" w:rsidR="001F7736" w:rsidRDefault="002070F5" w:rsidP="00AE7FB1">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AE7FB1">
            <w:pPr>
              <w:rPr>
                <w:rFonts w:eastAsiaTheme="minorEastAsia"/>
                <w:szCs w:val="21"/>
                <w:lang w:val="en-US"/>
              </w:rPr>
            </w:pPr>
            <w:r>
              <w:rPr>
                <w:rFonts w:eastAsiaTheme="minorEastAsia"/>
                <w:szCs w:val="21"/>
                <w:lang w:val="en-US"/>
              </w:rPr>
              <w:t>Same granularity as 40-4a/b/c/d</w:t>
            </w:r>
          </w:p>
        </w:tc>
      </w:tr>
      <w:tr w:rsidR="00B842BB" w14:paraId="661A85A1" w14:textId="77777777" w:rsidTr="00AE7FB1">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AE7FB1">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AE7FB1">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AE7FB1">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AE7FB1">
        <w:tc>
          <w:tcPr>
            <w:tcW w:w="506" w:type="pct"/>
            <w:shd w:val="clear" w:color="auto" w:fill="F2F2F2" w:themeFill="background1" w:themeFillShade="F2"/>
          </w:tcPr>
          <w:p w14:paraId="57F6F2CE"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AE7FB1">
        <w:tc>
          <w:tcPr>
            <w:tcW w:w="506" w:type="pct"/>
          </w:tcPr>
          <w:p w14:paraId="2F7D1822" w14:textId="2D5BC29A"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AE7FB1">
            <w:pPr>
              <w:rPr>
                <w:rFonts w:eastAsiaTheme="minorEastAsia"/>
                <w:szCs w:val="21"/>
                <w:lang w:val="en-US"/>
              </w:rPr>
            </w:pPr>
            <w:r>
              <w:rPr>
                <w:rFonts w:eastAsiaTheme="minorEastAsia"/>
                <w:szCs w:val="21"/>
                <w:lang w:val="en-US"/>
              </w:rPr>
              <w:t>Same granularity as 30-4a/b/c/d (Alt 3)</w:t>
            </w:r>
          </w:p>
        </w:tc>
      </w:tr>
      <w:tr w:rsidR="001E1E15" w14:paraId="3F2E2F9B" w14:textId="77777777" w:rsidTr="00AE7FB1">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AE7FB1">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AE7FB1">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rsidP="001F7736">
      <w:pPr>
        <w:pStyle w:val="aff2"/>
        <w:numPr>
          <w:ilvl w:val="0"/>
          <w:numId w:val="22"/>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Huawei, HiSilicon</w:t>
      </w:r>
    </w:p>
    <w:p w14:paraId="7416E2ED" w14:textId="318790CB"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 xml:space="preserve">UE features for Coverage </w:t>
      </w:r>
      <w:proofErr w:type="spellStart"/>
      <w:r w:rsidRPr="001F7736">
        <w:rPr>
          <w:rFonts w:eastAsia="ＭＳ 明朝"/>
          <w:sz w:val="22"/>
          <w:lang w:val="en-US"/>
        </w:rPr>
        <w:t>Enhacement</w:t>
      </w:r>
      <w:proofErr w:type="spellEnd"/>
      <w:r w:rsidRPr="001F7736">
        <w:rPr>
          <w:rFonts w:eastAsia="ＭＳ 明朝"/>
          <w:sz w:val="22"/>
          <w:lang w:val="en-US"/>
        </w:rPr>
        <w:tab/>
        <w:t>Samsung</w:t>
      </w:r>
    </w:p>
    <w:p w14:paraId="29F0E64B"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rsidP="007942B1">
      <w:pPr>
        <w:pStyle w:val="aff2"/>
        <w:numPr>
          <w:ilvl w:val="0"/>
          <w:numId w:val="22"/>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8CED" w14:textId="77777777" w:rsidR="009815FF" w:rsidRDefault="009815FF">
      <w:r>
        <w:separator/>
      </w:r>
    </w:p>
  </w:endnote>
  <w:endnote w:type="continuationSeparator" w:id="0">
    <w:p w14:paraId="53D62AEC" w14:textId="77777777" w:rsidR="009815FF" w:rsidRDefault="0098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8EE2" w14:textId="77777777" w:rsidR="0028636F" w:rsidRDefault="0028636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626E69">
      <w:rPr>
        <w:rStyle w:val="afc"/>
        <w:rFonts w:eastAsia="ＭＳ ゴシック"/>
        <w:noProof/>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626E69">
      <w:rPr>
        <w:rStyle w:val="afc"/>
        <w:rFonts w:eastAsia="ＭＳ ゴシック"/>
        <w:noProof/>
      </w:rPr>
      <w:t>83</w:t>
    </w:r>
    <w:r>
      <w:rPr>
        <w:rStyle w:val="afc"/>
        <w:rFonts w:eastAsia="ＭＳ ゴシック"/>
      </w:rPr>
      <w:fldChar w:fldCharType="end"/>
    </w:r>
    <w:r>
      <w:rPr>
        <w:rStyle w:val="afc"/>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8E2C" w14:textId="77777777" w:rsidR="0028636F" w:rsidRDefault="0028636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CE6D" w14:textId="77777777" w:rsidR="009815FF" w:rsidRDefault="009815FF">
      <w:r>
        <w:separator/>
      </w:r>
    </w:p>
  </w:footnote>
  <w:footnote w:type="continuationSeparator" w:id="0">
    <w:p w14:paraId="7B67D915" w14:textId="77777777" w:rsidR="009815FF" w:rsidRDefault="0098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80FB" w14:textId="77777777" w:rsidR="0028636F" w:rsidRDefault="0028636F">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2728" w14:textId="77777777" w:rsidR="0028636F" w:rsidRDefault="0028636F">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E51E" w14:textId="77777777" w:rsidR="0028636F" w:rsidRDefault="0028636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0C624B5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4"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4"/>
  </w:num>
  <w:num w:numId="3">
    <w:abstractNumId w:val="38"/>
  </w:num>
  <w:num w:numId="4">
    <w:abstractNumId w:val="46"/>
  </w:num>
  <w:num w:numId="5">
    <w:abstractNumId w:val="11"/>
  </w:num>
  <w:num w:numId="6">
    <w:abstractNumId w:val="26"/>
  </w:num>
  <w:num w:numId="7">
    <w:abstractNumId w:val="17"/>
  </w:num>
  <w:num w:numId="8">
    <w:abstractNumId w:val="30"/>
  </w:num>
  <w:num w:numId="9">
    <w:abstractNumId w:val="42"/>
  </w:num>
  <w:num w:numId="10">
    <w:abstractNumId w:val="47"/>
  </w:num>
  <w:num w:numId="11">
    <w:abstractNumId w:val="43"/>
  </w:num>
  <w:num w:numId="12">
    <w:abstractNumId w:val="5"/>
  </w:num>
  <w:num w:numId="13">
    <w:abstractNumId w:val="24"/>
  </w:num>
  <w:num w:numId="14">
    <w:abstractNumId w:val="20"/>
  </w:num>
  <w:num w:numId="15">
    <w:abstractNumId w:val="0"/>
  </w:num>
  <w:num w:numId="16">
    <w:abstractNumId w:val="3"/>
  </w:num>
  <w:num w:numId="17">
    <w:abstractNumId w:val="37"/>
  </w:num>
  <w:num w:numId="18">
    <w:abstractNumId w:val="25"/>
  </w:num>
  <w:num w:numId="19">
    <w:abstractNumId w:val="19"/>
  </w:num>
  <w:num w:numId="20">
    <w:abstractNumId w:val="36"/>
  </w:num>
  <w:num w:numId="21">
    <w:abstractNumId w:val="29"/>
  </w:num>
  <w:num w:numId="22">
    <w:abstractNumId w:val="7"/>
  </w:num>
  <w:num w:numId="23">
    <w:abstractNumId w:val="2"/>
  </w:num>
  <w:num w:numId="24">
    <w:abstractNumId w:val="41"/>
  </w:num>
  <w:num w:numId="25">
    <w:abstractNumId w:val="23"/>
  </w:num>
  <w:num w:numId="26">
    <w:abstractNumId w:val="1"/>
  </w:num>
  <w:num w:numId="27">
    <w:abstractNumId w:val="27"/>
  </w:num>
  <w:num w:numId="28">
    <w:abstractNumId w:val="21"/>
  </w:num>
  <w:num w:numId="29">
    <w:abstractNumId w:val="15"/>
  </w:num>
  <w:num w:numId="30">
    <w:abstractNumId w:val="35"/>
  </w:num>
  <w:num w:numId="31">
    <w:abstractNumId w:val="44"/>
  </w:num>
  <w:num w:numId="32">
    <w:abstractNumId w:val="10"/>
  </w:num>
  <w:num w:numId="33">
    <w:abstractNumId w:val="18"/>
  </w:num>
  <w:num w:numId="34">
    <w:abstractNumId w:val="33"/>
  </w:num>
  <w:num w:numId="35">
    <w:abstractNumId w:val="4"/>
  </w:num>
  <w:num w:numId="36">
    <w:abstractNumId w:val="39"/>
  </w:num>
  <w:num w:numId="37">
    <w:abstractNumId w:val="40"/>
  </w:num>
  <w:num w:numId="38">
    <w:abstractNumId w:val="22"/>
  </w:num>
  <w:num w:numId="39">
    <w:abstractNumId w:val="9"/>
  </w:num>
  <w:num w:numId="40">
    <w:abstractNumId w:val="34"/>
  </w:num>
  <w:num w:numId="41">
    <w:abstractNumId w:val="28"/>
  </w:num>
  <w:num w:numId="42">
    <w:abstractNumId w:val="6"/>
  </w:num>
  <w:num w:numId="43">
    <w:abstractNumId w:val="12"/>
  </w:num>
  <w:num w:numId="44">
    <w:abstractNumId w:val="16"/>
  </w:num>
  <w:num w:numId="45">
    <w:abstractNumId w:val="13"/>
  </w:num>
  <w:num w:numId="46">
    <w:abstractNumId w:val="32"/>
  </w:num>
  <w:num w:numId="47">
    <w:abstractNumId w:val="31"/>
  </w:num>
  <w:num w:numId="4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E1C17"/>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s:customData xmlns="http://www.wps.cn/officeDocument/2013/wpsCustomData" xmlns:s="http://www.wps.cn/officeDocument/2013/wpsCustomData">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6863</Words>
  <Characters>39125</Characters>
  <Application>Microsoft Office Word</Application>
  <DocSecurity>0</DocSecurity>
  <Lines>326</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Haruhi Echigo (越後 春陽)</cp:lastModifiedBy>
  <cp:revision>2</cp:revision>
  <cp:lastPrinted>2017-08-08T16:40:00Z</cp:lastPrinted>
  <dcterms:created xsi:type="dcterms:W3CDTF">2022-10-11T04:19:00Z</dcterms:created>
  <dcterms:modified xsi:type="dcterms:W3CDTF">2022-10-11T04:19:00Z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