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BEBFD3D"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034CC3">
        <w:rPr>
          <w:rFonts w:ascii="Arial" w:hAnsi="Arial" w:cs="Arial"/>
          <w:b/>
          <w:bCs/>
          <w:sz w:val="28"/>
          <w:lang w:val="pt-BR"/>
        </w:rPr>
        <w:t>10422</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67D28B47"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034CC3">
        <w:rPr>
          <w:rFonts w:ascii="Arial" w:eastAsia="Malgun Gothic" w:hAnsi="Arial"/>
          <w:bCs/>
          <w:lang w:val="en-US" w:eastAsia="en-US"/>
        </w:rPr>
        <w:t>2</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w:t>
            </w:r>
            <w:proofErr w:type="gramStart"/>
            <w:r w:rsidRPr="001A6032">
              <w:rPr>
                <w:iCs/>
              </w:rPr>
              <w:t>In order to</w:t>
            </w:r>
            <w:proofErr w:type="gramEnd"/>
            <w:r w:rsidRPr="001A6032">
              <w:rPr>
                <w:iCs/>
              </w:rPr>
              <w:t xml:space="preserve">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 xml:space="preserve">For DMRS bundling, UE is required to maintain power consistency and phase continuity during an actual TDW. </w:t>
            </w:r>
            <w:proofErr w:type="gramStart"/>
            <w:r w:rsidRPr="00341FB3">
              <w:rPr>
                <w:color w:val="000000"/>
                <w:lang w:eastAsia="zh-CN"/>
              </w:rPr>
              <w:t>In order to</w:t>
            </w:r>
            <w:proofErr w:type="gramEnd"/>
            <w:r w:rsidRPr="00341FB3">
              <w:rPr>
                <w:color w:val="000000"/>
                <w:lang w:eastAsia="zh-CN"/>
              </w:rPr>
              <w:t xml:space="preserve">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 xml:space="preserve">Indicates the maximum number of consecutive slots during which the UE </w:t>
                  </w:r>
                  <w:proofErr w:type="gramStart"/>
                  <w:r w:rsidRPr="00404F8C">
                    <w:rPr>
                      <w:rFonts w:ascii="Arial" w:hAnsi="Arial" w:cs="Arial"/>
                    </w:rPr>
                    <w:t>is able to</w:t>
                  </w:r>
                  <w:proofErr w:type="gramEnd"/>
                  <w:r w:rsidRPr="00404F8C">
                    <w:rPr>
                      <w:rFonts w:ascii="Arial" w:hAnsi="Arial" w:cs="Arial"/>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w:t>
                  </w:r>
                  <w:proofErr w:type="gramStart"/>
                  <w:r w:rsidRPr="00AB0E66">
                    <w:rPr>
                      <w:rFonts w:ascii="Arial" w:hAnsi="Arial" w:cs="Arial"/>
                      <w:sz w:val="18"/>
                      <w:szCs w:val="18"/>
                    </w:rPr>
                    <w:t>is able to</w:t>
                  </w:r>
                  <w:proofErr w:type="gramEnd"/>
                  <w:r w:rsidRPr="00AB0E66">
                    <w:rPr>
                      <w:rFonts w:ascii="Arial" w:hAnsi="Arial" w:cs="Arial"/>
                      <w:sz w:val="18"/>
                      <w:szCs w:val="18"/>
                    </w:rPr>
                    <w:t xml:space="preserve">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w:t>
            </w:r>
            <w:proofErr w:type="gramStart"/>
            <w:r>
              <w:rPr>
                <w:rFonts w:eastAsiaTheme="minorEastAsia"/>
                <w:lang w:eastAsia="ko-KR"/>
              </w:rPr>
              <w:t>in order to</w:t>
            </w:r>
            <w:proofErr w:type="gramEnd"/>
            <w:r>
              <w:rPr>
                <w:rFonts w:eastAsiaTheme="minorEastAsia"/>
                <w:lang w:eastAsia="ko-KR"/>
              </w:rPr>
              <w:t xml:space="preserve">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 xml:space="preserve">RAN chair and suggest </w:t>
            </w:r>
            <w:proofErr w:type="gramStart"/>
            <w:r>
              <w:rPr>
                <w:rFonts w:ascii="TimesNewRomanPSMT" w:eastAsia="MS Mincho" w:hAnsi="TimesNewRomanPSMT" w:cs="TimesNewRomanPSMT"/>
                <w:sz w:val="22"/>
                <w:szCs w:val="22"/>
                <w:lang w:val="en-US"/>
              </w:rPr>
              <w:t>to stop</w:t>
            </w:r>
            <w:proofErr w:type="gramEnd"/>
            <w:r>
              <w:rPr>
                <w:rFonts w:ascii="TimesNewRomanPSMT" w:eastAsia="MS Mincho"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hint="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hint="eastAsia"/>
                <w:szCs w:val="21"/>
                <w:lang w:val="en-US"/>
              </w:rPr>
            </w:pPr>
            <w:r>
              <w:rPr>
                <w:rFonts w:eastAsiaTheme="minorEastAsia"/>
                <w:szCs w:val="21"/>
                <w:lang w:val="en-US"/>
              </w:rPr>
              <w:t>Discussion in 8.8 concluded with no consensus. We can leave FG 30-4g as is.</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lastRenderedPageBreak/>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lastRenderedPageBreak/>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lastRenderedPageBreak/>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 xml:space="preserve">Events, which are triggered by DCI or MAC CE, but regarded as semi-static events, </w:t>
                  </w:r>
                  <w:proofErr w:type="gramStart"/>
                  <w:r w:rsidRPr="00E37047">
                    <w:rPr>
                      <w:highlight w:val="cyan"/>
                    </w:rPr>
                    <w:t>e.g.</w:t>
                  </w:r>
                  <w:proofErr w:type="gramEnd"/>
                  <w:r w:rsidRPr="00E37047">
                    <w:rPr>
                      <w:highlight w:val="cyan"/>
                    </w:rPr>
                    <w:t xml:space="preserve">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 xml:space="preserve">Events, which are triggered by DCI or MAC CE, but regarded as semi-static events, </w:t>
                  </w:r>
                  <w:proofErr w:type="gramStart"/>
                  <w:r w:rsidRPr="00E37047">
                    <w:rPr>
                      <w:rFonts w:eastAsia="Times New Roman"/>
                      <w:highlight w:val="cyan"/>
                    </w:rPr>
                    <w:t>e.g.</w:t>
                  </w:r>
                  <w:proofErr w:type="gramEnd"/>
                  <w:r w:rsidRPr="00E37047">
                    <w:rPr>
                      <w:rFonts w:eastAsia="Times New Roman"/>
                      <w:highlight w:val="cyan"/>
                    </w:rPr>
                    <w:t xml:space="preserve">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ListParagraph"/>
              <w:numPr>
                <w:ilvl w:val="1"/>
                <w:numId w:val="42"/>
              </w:numPr>
              <w:ind w:leftChars="0"/>
              <w:rPr>
                <w:rFonts w:ascii="MS Gothic" w:hAnsi="MS Gothic"/>
                <w:b/>
                <w:bCs/>
                <w:sz w:val="20"/>
              </w:rPr>
            </w:pPr>
            <w:r>
              <w:rPr>
                <w:rFonts w:hint="eastAsia"/>
                <w:b/>
                <w:bCs/>
              </w:rPr>
              <w:lastRenderedPageBreak/>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w:t>
                  </w:r>
                  <w:proofErr w:type="gramStart"/>
                  <w:r>
                    <w:rPr>
                      <w:rFonts w:ascii="Arial" w:hAnsi="Arial" w:cs="Arial"/>
                      <w:bCs/>
                      <w:iCs/>
                    </w:rPr>
                    <w:t>i.e.</w:t>
                  </w:r>
                  <w:proofErr w:type="gramEnd"/>
                  <w:r>
                    <w:rPr>
                      <w:rFonts w:ascii="Arial" w:hAnsi="Arial" w:cs="Arial"/>
                      <w:bCs/>
                      <w:iCs/>
                    </w:rPr>
                    <w:t xml:space="preserv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xml:space="preserve">, it can be clarified that multi-carrier scenarios are </w:t>
            </w:r>
            <w:proofErr w:type="gramStart"/>
            <w:r>
              <w:rPr>
                <w:rFonts w:eastAsiaTheme="minorEastAsia"/>
                <w:szCs w:val="21"/>
              </w:rPr>
              <w:t>applicable</w:t>
            </w:r>
            <w:proofErr w:type="gramEnd"/>
            <w:r>
              <w:rPr>
                <w:rFonts w:eastAsiaTheme="minorEastAsia"/>
                <w:szCs w:val="21"/>
              </w:rPr>
              <w:t xml:space="preserv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C2205B" w:rsidRDefault="00C2205B" w:rsidP="005C77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44A149D" w14:textId="4F8CDE9B" w:rsidR="00C2205B" w:rsidRPr="00C2205B" w:rsidRDefault="00C2205B" w:rsidP="005C7782">
            <w:pPr>
              <w:rPr>
                <w:rFonts w:eastAsia="SimSun"/>
                <w:szCs w:val="21"/>
                <w:lang w:val="en-US" w:eastAsia="zh-CN"/>
              </w:rPr>
            </w:pPr>
            <w:r>
              <w:rPr>
                <w:rFonts w:eastAsia="SimSun" w:hint="eastAsia"/>
                <w:szCs w:val="21"/>
                <w:lang w:val="en-US" w:eastAsia="zh-CN"/>
              </w:rPr>
              <w:t>B</w:t>
            </w:r>
            <w:r>
              <w:rPr>
                <w:rFonts w:eastAsia="SimSun"/>
                <w:szCs w:val="21"/>
                <w:lang w:val="en-US" w:eastAsia="zh-CN"/>
              </w:rPr>
              <w:t xml:space="preserve">ased on previous RAN4 LS, the following two multi-carrier cases are </w:t>
            </w:r>
            <w:r w:rsidR="00891E07">
              <w:rPr>
                <w:rFonts w:eastAsia="SimSun"/>
                <w:szCs w:val="21"/>
                <w:lang w:val="en-US" w:eastAsia="zh-CN"/>
              </w:rPr>
              <w:t xml:space="preserve">also </w:t>
            </w:r>
            <w:r>
              <w:rPr>
                <w:rFonts w:eastAsia="SimSun"/>
                <w:szCs w:val="21"/>
                <w:lang w:val="en-US" w:eastAsia="zh-CN"/>
              </w:rPr>
              <w:t xml:space="preserve">supported. The conclusion in RAN1 is only to address the multi-carrier cases that are not clear to RAN4 and </w:t>
            </w:r>
            <w:r w:rsidR="00A22074">
              <w:rPr>
                <w:rFonts w:eastAsia="SimSun"/>
                <w:szCs w:val="21"/>
                <w:lang w:val="en-US" w:eastAsia="zh-CN"/>
              </w:rPr>
              <w:t xml:space="preserve">required </w:t>
            </w:r>
            <w:r>
              <w:rPr>
                <w:rFonts w:eastAsia="SimSun"/>
                <w:szCs w:val="21"/>
                <w:lang w:val="en-US" w:eastAsia="zh-CN"/>
              </w:rPr>
              <w:t xml:space="preserve">RAN1 </w:t>
            </w:r>
            <w:r w:rsidR="00780577">
              <w:rPr>
                <w:rFonts w:eastAsia="SimSun"/>
                <w:szCs w:val="21"/>
                <w:lang w:val="en-US" w:eastAsia="zh-CN"/>
              </w:rPr>
              <w:t xml:space="preserve">to </w:t>
            </w:r>
            <w:r>
              <w:rPr>
                <w:rFonts w:eastAsia="SimSun"/>
                <w:szCs w:val="21"/>
                <w:lang w:val="en-US" w:eastAsia="zh-CN"/>
              </w:rPr>
              <w:t xml:space="preserve">reply.  </w:t>
            </w:r>
          </w:p>
          <w:p w14:paraId="682BF30B" w14:textId="77777777" w:rsidR="00C2205B" w:rsidRPr="00C2205B" w:rsidRDefault="00C2205B" w:rsidP="00C2205B">
            <w:pPr>
              <w:spacing w:afterLines="50" w:after="12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C2205B"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 xml:space="preserve">FR1+FR2 </w:t>
            </w:r>
            <w:r w:rsidRPr="00C2205B">
              <w:rPr>
                <w:rFonts w:ascii="Arial" w:eastAsiaTheme="minorEastAsia" w:hAnsi="Arial" w:cs="Arial" w:hint="eastAsia"/>
                <w:bCs/>
                <w:i/>
                <w:iCs/>
                <w:lang w:val="en-US" w:eastAsia="zh-CN"/>
              </w:rPr>
              <w:t xml:space="preserve">UL </w:t>
            </w:r>
            <w:r w:rsidRPr="00C2205B">
              <w:rPr>
                <w:rFonts w:ascii="Arial" w:eastAsiaTheme="minorEastAsia" w:hAnsi="Arial" w:cs="Arial"/>
                <w:bCs/>
                <w:i/>
                <w:iCs/>
                <w:lang w:val="en-US" w:eastAsia="zh-CN"/>
              </w:rPr>
              <w:t xml:space="preserve">CA, FR1+FR2 DC, and EN-DC with NR on FR2. </w:t>
            </w:r>
            <w:r w:rsidRPr="00C2205B">
              <w:rPr>
                <w:rFonts w:ascii="Arial" w:hAnsi="Arial" w:cs="Arial"/>
                <w:i/>
                <w:szCs w:val="21"/>
                <w:lang w:eastAsia="zh-CN"/>
              </w:rPr>
              <w:t xml:space="preserve">DMRS bundling configuration is limited to one uplink </w:t>
            </w:r>
            <w:r w:rsidRPr="00C2205B">
              <w:rPr>
                <w:rFonts w:ascii="Arial" w:eastAsiaTheme="minorEastAsia" w:hAnsi="Arial" w:cs="Arial" w:hint="eastAsia"/>
                <w:i/>
                <w:szCs w:val="21"/>
                <w:lang w:eastAsia="zh-CN"/>
              </w:rPr>
              <w:t xml:space="preserve">NR </w:t>
            </w:r>
            <w:r w:rsidRPr="00C2205B">
              <w:rPr>
                <w:rFonts w:ascii="Arial" w:hAnsi="Arial" w:cs="Arial"/>
                <w:i/>
                <w:szCs w:val="21"/>
                <w:lang w:eastAsia="zh-CN"/>
              </w:rPr>
              <w:t>carrier</w:t>
            </w:r>
            <w:r w:rsidRPr="00C2205B">
              <w:rPr>
                <w:rFonts w:ascii="Arial" w:eastAsiaTheme="minorEastAsia" w:hAnsi="Arial" w:cs="Arial"/>
                <w:i/>
                <w:szCs w:val="21"/>
                <w:lang w:eastAsia="zh-CN"/>
              </w:rPr>
              <w:t xml:space="preserve"> in total on all FRs</w:t>
            </w:r>
            <w:r w:rsidRPr="00C2205B">
              <w:rPr>
                <w:rFonts w:ascii="Arial" w:eastAsiaTheme="minorEastAsia" w:hAnsi="Arial" w:cs="Arial" w:hint="eastAsia"/>
                <w:i/>
                <w:szCs w:val="21"/>
                <w:lang w:eastAsia="zh-CN"/>
              </w:rPr>
              <w:t xml:space="preserve"> at a time.</w:t>
            </w:r>
          </w:p>
          <w:p w14:paraId="2591D399" w14:textId="77777777" w:rsidR="00C2205B" w:rsidRPr="00C2205B"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C2205B">
              <w:rPr>
                <w:rFonts w:ascii="Arial" w:hAnsi="Arial" w:cs="Arial"/>
                <w:i/>
                <w:szCs w:val="21"/>
                <w:lang w:eastAsia="zh-CN"/>
              </w:rPr>
              <w:t>FR1 inter-band DL CA with a “single” uplink band configured, meaning no switching to transmit SRS on another carrier.</w:t>
            </w:r>
          </w:p>
          <w:p w14:paraId="4B6476BC" w14:textId="42878093" w:rsidR="00C2205B" w:rsidRDefault="00C2205B" w:rsidP="005C7782">
            <w:pPr>
              <w:rPr>
                <w:rFonts w:eastAsia="Malgun Gothic"/>
                <w:szCs w:val="21"/>
                <w:lang w:val="en-US" w:eastAsia="ko-KR"/>
              </w:rPr>
            </w:pPr>
          </w:p>
          <w:p w14:paraId="635C6343" w14:textId="59FD6950" w:rsidR="00C2205B" w:rsidRPr="00C2205B" w:rsidRDefault="00C2205B" w:rsidP="005C7782">
            <w:pPr>
              <w:rPr>
                <w:rFonts w:eastAsia="SimSun"/>
                <w:szCs w:val="21"/>
                <w:lang w:val="en-US" w:eastAsia="zh-CN"/>
              </w:rPr>
            </w:pPr>
            <w:r>
              <w:rPr>
                <w:rFonts w:eastAsia="SimSun" w:hint="eastAsia"/>
                <w:szCs w:val="21"/>
                <w:lang w:val="en-US" w:eastAsia="zh-CN"/>
              </w:rPr>
              <w:t>W</w:t>
            </w:r>
            <w:r>
              <w:rPr>
                <w:rFonts w:eastAsia="SimSun"/>
                <w:szCs w:val="21"/>
                <w:lang w:val="en-US" w:eastAsia="zh-CN"/>
              </w:rPr>
              <w:t>ith above, we suggest the following revisions.</w:t>
            </w:r>
            <w:r w:rsidR="00891E07">
              <w:rPr>
                <w:rFonts w:eastAsia="SimSun"/>
                <w:szCs w:val="21"/>
                <w:lang w:val="en-US" w:eastAsia="zh-CN"/>
              </w:rPr>
              <w:t xml:space="preserve"> Note</w:t>
            </w:r>
            <w:r w:rsidR="00136889">
              <w:rPr>
                <w:rFonts w:eastAsia="SimSun"/>
                <w:szCs w:val="21"/>
                <w:lang w:val="en-US" w:eastAsia="zh-CN"/>
              </w:rPr>
              <w:t xml:space="preserve"> that, the</w:t>
            </w:r>
            <w:r w:rsidR="00891E07">
              <w:rPr>
                <w:rFonts w:eastAsia="SimSun"/>
                <w:szCs w:val="21"/>
                <w:lang w:val="en-US" w:eastAsia="zh-CN"/>
              </w:rPr>
              <w:t xml:space="preserve"> three </w:t>
            </w:r>
            <w:r w:rsidR="00171085">
              <w:rPr>
                <w:rFonts w:eastAsia="SimSun"/>
                <w:szCs w:val="21"/>
                <w:lang w:val="en-US" w:eastAsia="zh-CN"/>
              </w:rPr>
              <w:t xml:space="preserve">original </w:t>
            </w:r>
            <w:r w:rsidR="00891E07">
              <w:rPr>
                <w:rFonts w:eastAsia="SimSun"/>
                <w:szCs w:val="21"/>
                <w:lang w:val="en-US" w:eastAsia="zh-CN"/>
              </w:rPr>
              <w:t xml:space="preserve">notes are </w:t>
            </w:r>
            <w:r w:rsidR="00171085">
              <w:rPr>
                <w:rFonts w:eastAsia="SimSun"/>
                <w:szCs w:val="21"/>
                <w:lang w:val="en-US" w:eastAsia="zh-CN"/>
              </w:rPr>
              <w:t xml:space="preserve">just </w:t>
            </w:r>
            <w:r w:rsidR="00891E07">
              <w:rPr>
                <w:rFonts w:eastAsia="SimSun"/>
                <w:szCs w:val="21"/>
                <w:lang w:val="en-US" w:eastAsia="zh-CN"/>
              </w:rPr>
              <w:t>moved as the sub-sub-bullet of the second sub-bullet</w:t>
            </w:r>
            <w:r w:rsidR="00171085">
              <w:rPr>
                <w:rFonts w:eastAsia="SimSun"/>
                <w:szCs w:val="21"/>
                <w:lang w:val="en-US" w:eastAsia="zh-CN"/>
              </w:rPr>
              <w:t xml:space="preserve"> without any wording change</w:t>
            </w:r>
            <w:r w:rsidR="00891E07">
              <w:rPr>
                <w:rFonts w:eastAsia="SimSun"/>
                <w:szCs w:val="21"/>
                <w:lang w:val="en-US" w:eastAsia="zh-CN"/>
              </w:rPr>
              <w:t xml:space="preserve">. </w:t>
            </w:r>
            <w:r>
              <w:rPr>
                <w:rFonts w:eastAsia="SimSun"/>
                <w:szCs w:val="21"/>
                <w:lang w:val="en-US" w:eastAsia="zh-CN"/>
              </w:rPr>
              <w:t xml:space="preserve"> </w:t>
            </w:r>
          </w:p>
          <w:p w14:paraId="41DF64DF" w14:textId="77777777" w:rsidR="00C2205B" w:rsidRDefault="00C2205B" w:rsidP="00C2205B">
            <w:pPr>
              <w:spacing w:after="120"/>
              <w:jc w:val="both"/>
              <w:outlineLvl w:val="2"/>
              <w:rPr>
                <w:b/>
                <w:bCs/>
                <w:szCs w:val="24"/>
              </w:rPr>
            </w:pPr>
            <w:r>
              <w:rPr>
                <w:b/>
                <w:bCs/>
                <w:szCs w:val="24"/>
                <w:highlight w:val="yellow"/>
              </w:rPr>
              <w:t>Updated Proposal 2-2-1:</w:t>
            </w:r>
          </w:p>
          <w:p w14:paraId="322D9328" w14:textId="77777777" w:rsidR="00C2205B" w:rsidRDefault="00C2205B" w:rsidP="00C2205B">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9733EB3" w14:textId="77777777" w:rsidR="00C2205B" w:rsidRDefault="00C2205B" w:rsidP="00C2205B">
            <w:pPr>
              <w:pStyle w:val="ListParagraph"/>
              <w:numPr>
                <w:ilvl w:val="1"/>
                <w:numId w:val="9"/>
              </w:numPr>
              <w:spacing w:line="276" w:lineRule="auto"/>
              <w:ind w:leftChars="0"/>
              <w:rPr>
                <w:b/>
                <w:bCs/>
                <w:szCs w:val="24"/>
              </w:rPr>
            </w:pPr>
            <w:r>
              <w:rPr>
                <w:b/>
                <w:bCs/>
                <w:szCs w:val="24"/>
              </w:rPr>
              <w:t>This capability is applicable to following multiple carrier scenarios</w:t>
            </w:r>
          </w:p>
          <w:p w14:paraId="2319062A" w14:textId="77777777" w:rsidR="00891E07" w:rsidRPr="00136889" w:rsidRDefault="00891E07" w:rsidP="00891E07">
            <w:pPr>
              <w:pStyle w:val="ListParagraph"/>
              <w:numPr>
                <w:ilvl w:val="2"/>
                <w:numId w:val="9"/>
              </w:numPr>
              <w:spacing w:line="276" w:lineRule="auto"/>
              <w:ind w:leftChars="0"/>
              <w:rPr>
                <w:b/>
                <w:bCs/>
                <w:color w:val="FF0000"/>
                <w:szCs w:val="24"/>
              </w:rPr>
            </w:pPr>
            <w:r w:rsidRPr="00136889">
              <w:rPr>
                <w:b/>
                <w:bCs/>
                <w:color w:val="FF0000"/>
                <w:szCs w:val="24"/>
              </w:rPr>
              <w:t xml:space="preserve">FR1+FR2 </w:t>
            </w:r>
            <w:r w:rsidRPr="00136889">
              <w:rPr>
                <w:rFonts w:hint="eastAsia"/>
                <w:b/>
                <w:bCs/>
                <w:color w:val="FF0000"/>
                <w:szCs w:val="24"/>
              </w:rPr>
              <w:t xml:space="preserve">UL </w:t>
            </w:r>
            <w:r w:rsidRPr="00136889">
              <w:rPr>
                <w:b/>
                <w:bCs/>
                <w:color w:val="FF0000"/>
                <w:szCs w:val="24"/>
              </w:rPr>
              <w:t xml:space="preserve">CA, FR1+FR2 DC, and EN-DC with NR on FR2. DMRS bundling configuration is limited to one uplink </w:t>
            </w:r>
            <w:r w:rsidRPr="00136889">
              <w:rPr>
                <w:rFonts w:hint="eastAsia"/>
                <w:b/>
                <w:bCs/>
                <w:color w:val="FF0000"/>
                <w:szCs w:val="24"/>
              </w:rPr>
              <w:t xml:space="preserve">NR </w:t>
            </w:r>
            <w:r w:rsidRPr="00136889">
              <w:rPr>
                <w:b/>
                <w:bCs/>
                <w:color w:val="FF0000"/>
                <w:szCs w:val="24"/>
              </w:rPr>
              <w:t>carrier in total on all FRs</w:t>
            </w:r>
            <w:r w:rsidRPr="00136889">
              <w:rPr>
                <w:rFonts w:hint="eastAsia"/>
                <w:b/>
                <w:bCs/>
                <w:color w:val="FF0000"/>
                <w:szCs w:val="24"/>
              </w:rPr>
              <w:t xml:space="preserve"> at a time.</w:t>
            </w:r>
          </w:p>
          <w:p w14:paraId="120E3521" w14:textId="77777777" w:rsidR="00891E07" w:rsidRPr="00136889" w:rsidRDefault="00891E07" w:rsidP="00891E07">
            <w:pPr>
              <w:pStyle w:val="ListParagraph"/>
              <w:numPr>
                <w:ilvl w:val="2"/>
                <w:numId w:val="9"/>
              </w:numPr>
              <w:spacing w:line="276" w:lineRule="auto"/>
              <w:ind w:leftChars="0"/>
              <w:rPr>
                <w:b/>
                <w:bCs/>
                <w:color w:val="FF0000"/>
                <w:szCs w:val="24"/>
              </w:rPr>
            </w:pPr>
            <w:r w:rsidRPr="00136889">
              <w:rPr>
                <w:b/>
                <w:bCs/>
                <w:color w:val="FF0000"/>
                <w:szCs w:val="24"/>
              </w:rPr>
              <w:t>FR1 inter-band DL CA with a “single” uplink band configured, meaning no switching to transmit SRS on another carrier.</w:t>
            </w:r>
          </w:p>
          <w:p w14:paraId="75391258"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2981B873"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FR1 inter-band UL CA with DMRS bundling</w:t>
            </w:r>
          </w:p>
          <w:p w14:paraId="28E6178A" w14:textId="77777777" w:rsidR="00C2205B" w:rsidRDefault="00C2205B" w:rsidP="00C2205B">
            <w:pPr>
              <w:pStyle w:val="ListParagraph"/>
              <w:numPr>
                <w:ilvl w:val="2"/>
                <w:numId w:val="9"/>
              </w:numPr>
              <w:spacing w:line="276" w:lineRule="auto"/>
              <w:ind w:leftChars="0"/>
              <w:rPr>
                <w:b/>
                <w:bCs/>
                <w:szCs w:val="24"/>
              </w:rPr>
            </w:pPr>
            <w:r w:rsidRPr="00D01A9F">
              <w:rPr>
                <w:b/>
                <w:bCs/>
                <w:szCs w:val="24"/>
              </w:rPr>
              <w:lastRenderedPageBreak/>
              <w:t>SUL with DMRS bundling</w:t>
            </w:r>
          </w:p>
          <w:p w14:paraId="0DA2B1F0" w14:textId="04E7C6BE" w:rsidR="00C2205B" w:rsidRPr="00D01A9F" w:rsidRDefault="00C2205B" w:rsidP="00C2205B">
            <w:pPr>
              <w:pStyle w:val="ListParagraph"/>
              <w:numPr>
                <w:ilvl w:val="1"/>
                <w:numId w:val="9"/>
              </w:numPr>
              <w:spacing w:line="276" w:lineRule="auto"/>
              <w:ind w:leftChars="0"/>
              <w:rPr>
                <w:b/>
                <w:bCs/>
                <w:szCs w:val="24"/>
              </w:rPr>
            </w:pPr>
            <w:r w:rsidRPr="00891E07">
              <w:rPr>
                <w:b/>
                <w:bCs/>
                <w:strike/>
                <w:color w:val="FF0000"/>
                <w:szCs w:val="24"/>
              </w:rPr>
              <w:t>In above</w:t>
            </w:r>
            <w:r>
              <w:rPr>
                <w:b/>
                <w:bCs/>
                <w:szCs w:val="24"/>
              </w:rPr>
              <w:t xml:space="preserve"> </w:t>
            </w:r>
            <w:proofErr w:type="gramStart"/>
            <w:r w:rsidR="00891E07" w:rsidRPr="00891E07">
              <w:rPr>
                <w:b/>
                <w:bCs/>
                <w:color w:val="FF0000"/>
                <w:szCs w:val="24"/>
              </w:rPr>
              <w:t>For</w:t>
            </w:r>
            <w:proofErr w:type="gramEnd"/>
            <w:r w:rsidR="00891E07" w:rsidRPr="00891E07">
              <w:rPr>
                <w:b/>
                <w:bCs/>
                <w:color w:val="FF0000"/>
                <w:szCs w:val="24"/>
              </w:rPr>
              <w:t xml:space="preserve"> the last three </w:t>
            </w:r>
            <w:r>
              <w:rPr>
                <w:b/>
                <w:bCs/>
                <w:szCs w:val="24"/>
              </w:rPr>
              <w:t>scenarios</w:t>
            </w:r>
            <w:r w:rsidR="00891E07">
              <w:rPr>
                <w:b/>
                <w:bCs/>
                <w:szCs w:val="24"/>
              </w:rPr>
              <w:t xml:space="preserve"> </w:t>
            </w:r>
            <w:r w:rsidR="00136889" w:rsidRPr="00136889">
              <w:rPr>
                <w:b/>
                <w:bCs/>
                <w:color w:val="FF0000"/>
                <w:szCs w:val="24"/>
              </w:rPr>
              <w:t xml:space="preserve">listed </w:t>
            </w:r>
            <w:r w:rsidR="00891E07" w:rsidRPr="00891E07">
              <w:rPr>
                <w:b/>
                <w:bCs/>
                <w:color w:val="FF0000"/>
                <w:szCs w:val="24"/>
              </w:rPr>
              <w:t>above</w:t>
            </w:r>
            <w:r>
              <w:rPr>
                <w:b/>
                <w:bCs/>
                <w:szCs w:val="24"/>
              </w:rPr>
              <w:t xml:space="preserve">, </w:t>
            </w:r>
            <w:r w:rsidRPr="00D01A9F">
              <w:rPr>
                <w:b/>
                <w:bCs/>
                <w:szCs w:val="24"/>
              </w:rPr>
              <w:t>DMRS bundling can be applied with the following conditions:</w:t>
            </w:r>
          </w:p>
          <w:p w14:paraId="359109F2"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183766E0"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Only configuration of a single TAG</w:t>
            </w:r>
          </w:p>
          <w:p w14:paraId="207270AD"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61595365" w14:textId="77777777" w:rsidR="00C2205B" w:rsidRDefault="00C2205B" w:rsidP="00C2205B">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3AE12C86" w14:textId="77777777" w:rsidR="00C2205B"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Default="00034CC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17905C9" w14:textId="77777777" w:rsidR="00034CC3" w:rsidRDefault="00034CC3" w:rsidP="005C7782">
            <w:pPr>
              <w:rPr>
                <w:rFonts w:eastAsiaTheme="minorEastAsia"/>
                <w:szCs w:val="21"/>
                <w:lang w:val="en-US"/>
              </w:rPr>
            </w:pPr>
            <w:r>
              <w:rPr>
                <w:rFonts w:eastAsiaTheme="minorEastAsia"/>
                <w:szCs w:val="21"/>
                <w:lang w:val="en-US"/>
              </w:rPr>
              <w:t>Let’s check if the updated version from ZTE is agreeable.</w:t>
            </w:r>
          </w:p>
          <w:p w14:paraId="6984E3CF" w14:textId="77777777" w:rsidR="00034CC3" w:rsidRDefault="00034CC3" w:rsidP="00034CC3">
            <w:pPr>
              <w:spacing w:after="120"/>
              <w:jc w:val="both"/>
              <w:outlineLvl w:val="2"/>
              <w:rPr>
                <w:b/>
                <w:bCs/>
                <w:szCs w:val="24"/>
              </w:rPr>
            </w:pPr>
            <w:r>
              <w:rPr>
                <w:b/>
                <w:bCs/>
                <w:szCs w:val="24"/>
                <w:highlight w:val="yellow"/>
              </w:rPr>
              <w:t>Updated Proposal 2-2-1:</w:t>
            </w:r>
          </w:p>
          <w:p w14:paraId="2A245CB5" w14:textId="77777777" w:rsidR="00034CC3" w:rsidRDefault="00034CC3" w:rsidP="00034CC3">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500563CB" w14:textId="77777777" w:rsidR="00034CC3" w:rsidRPr="00034CC3" w:rsidRDefault="00034CC3" w:rsidP="00034CC3">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79D24CFE"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13E09BD8"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FR1 inter-band DL CA with a “single” uplink band configured, meaning no switching to transmit SRS on another carrier.</w:t>
            </w:r>
          </w:p>
          <w:p w14:paraId="2AC772C7"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DL CA with “additional” UL carrier configured with SRS only (</w:t>
            </w:r>
            <w:proofErr w:type="gramStart"/>
            <w:r w:rsidRPr="00034CC3">
              <w:rPr>
                <w:b/>
                <w:bCs/>
                <w:szCs w:val="24"/>
              </w:rPr>
              <w:t>i.e.</w:t>
            </w:r>
            <w:proofErr w:type="gramEnd"/>
            <w:r w:rsidRPr="00034CC3">
              <w:rPr>
                <w:b/>
                <w:bCs/>
                <w:szCs w:val="24"/>
              </w:rPr>
              <w:t xml:space="preserve"> no PUCCH/PUSCH configured)</w:t>
            </w:r>
          </w:p>
          <w:p w14:paraId="408B16CE"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FR1 inter-band UL CA with DMRS bundling</w:t>
            </w:r>
          </w:p>
          <w:p w14:paraId="32F6C6DC"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SUL with DMRS bundling</w:t>
            </w:r>
          </w:p>
          <w:p w14:paraId="4037C096" w14:textId="1A0FEE9B" w:rsidR="00034CC3" w:rsidRPr="00034CC3" w:rsidRDefault="00034CC3" w:rsidP="00034CC3">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35E40C17"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08B0A0C8"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Only configuration of a single TAG</w:t>
            </w:r>
          </w:p>
          <w:p w14:paraId="7B14C4A3"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66C892F4"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37BA90A7"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034CC3" w:rsidRDefault="00034CC3" w:rsidP="00034CC3">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034CC3" w:rsidRDefault="00034CC3" w:rsidP="00034CC3">
            <w:pPr>
              <w:pStyle w:val="ListParagraph"/>
              <w:numPr>
                <w:ilvl w:val="2"/>
                <w:numId w:val="9"/>
              </w:numPr>
              <w:spacing w:line="276" w:lineRule="auto"/>
              <w:ind w:leftChars="0"/>
              <w:rPr>
                <w:b/>
                <w:bCs/>
                <w:color w:val="FF0000"/>
                <w:szCs w:val="24"/>
              </w:rPr>
            </w:pPr>
            <w:r w:rsidRPr="00034CC3">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hint="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5214C6" w:rsidRDefault="005214C6" w:rsidP="005214C6">
            <w:pPr>
              <w:pStyle w:val="ListParagraph"/>
              <w:numPr>
                <w:ilvl w:val="2"/>
                <w:numId w:val="9"/>
              </w:numPr>
              <w:spacing w:line="276" w:lineRule="auto"/>
              <w:ind w:leftChars="0"/>
              <w:rPr>
                <w:b/>
                <w:bCs/>
                <w:color w:val="FF0000"/>
                <w:szCs w:val="24"/>
              </w:rPr>
            </w:pPr>
            <w:r w:rsidRPr="00034CC3">
              <w:rPr>
                <w:b/>
                <w:bCs/>
                <w:szCs w:val="24"/>
              </w:rPr>
              <w:t xml:space="preserve">FR1 inter-band DL CA with a </w:t>
            </w:r>
            <w:r w:rsidRPr="005214C6">
              <w:rPr>
                <w:b/>
                <w:bCs/>
                <w:strike/>
                <w:color w:val="FF0000"/>
                <w:szCs w:val="24"/>
              </w:rPr>
              <w:t>“</w:t>
            </w:r>
            <w:r w:rsidRPr="00034CC3">
              <w:rPr>
                <w:b/>
                <w:bCs/>
                <w:szCs w:val="24"/>
              </w:rPr>
              <w:t>single</w:t>
            </w:r>
            <w:r w:rsidRPr="005214C6">
              <w:rPr>
                <w:b/>
                <w:bCs/>
                <w:strike/>
                <w:color w:val="FF0000"/>
                <w:szCs w:val="24"/>
              </w:rPr>
              <w:t>”</w:t>
            </w:r>
            <w:r w:rsidRPr="00034CC3">
              <w:rPr>
                <w:b/>
                <w:bCs/>
                <w:szCs w:val="24"/>
              </w:rPr>
              <w:t xml:space="preserve"> uplink band configured</w:t>
            </w:r>
            <w:r w:rsidRPr="005214C6">
              <w:rPr>
                <w:b/>
                <w:bCs/>
                <w:strike/>
                <w:color w:val="FF0000"/>
                <w:szCs w:val="24"/>
              </w:rPr>
              <w:t>, meaning no switching to transmit SRS on another carrier.</w:t>
            </w:r>
          </w:p>
          <w:p w14:paraId="1C822D9F"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w:t>
            </w:r>
            <w:proofErr w:type="gramStart"/>
            <w:r w:rsidRPr="00034CC3">
              <w:rPr>
                <w:b/>
                <w:bCs/>
                <w:szCs w:val="24"/>
              </w:rPr>
              <w:t>i.e.</w:t>
            </w:r>
            <w:proofErr w:type="gramEnd"/>
            <w:r w:rsidRPr="00034CC3">
              <w:rPr>
                <w:b/>
                <w:bCs/>
                <w:szCs w:val="24"/>
              </w:rPr>
              <w:t xml:space="preserve"> no PUCCH/PUSCH configured)</w:t>
            </w:r>
          </w:p>
          <w:p w14:paraId="491CEA6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hint="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It is not clear to us why we need to restrict the support of DMRS bundling in non-</w:t>
            </w:r>
            <w:proofErr w:type="gramStart"/>
            <w:r>
              <w:rPr>
                <w:rFonts w:eastAsia="Malgun Gothic"/>
                <w:szCs w:val="21"/>
                <w:lang w:val="en-US" w:eastAsia="ko-KR"/>
              </w:rPr>
              <w:t>back to back</w:t>
            </w:r>
            <w:proofErr w:type="gramEnd"/>
            <w:r>
              <w:rPr>
                <w:rFonts w:eastAsia="Malgun Gothic"/>
                <w:szCs w:val="21"/>
                <w:lang w:val="en-US" w:eastAsia="ko-KR"/>
              </w:rPr>
              <w:t xml:space="preserve">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lastRenderedPageBreak/>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65E8003C" w14:textId="1DB0ADED"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r>
              <w:rPr>
                <w:b/>
                <w:bCs/>
                <w:szCs w:val="24"/>
              </w:rPr>
              <w:t xml:space="preserve"> </w:t>
            </w:r>
            <w:r w:rsidRPr="00034CC3">
              <w:rPr>
                <w:b/>
                <w:bCs/>
                <w:color w:val="FF0000"/>
                <w:szCs w:val="24"/>
              </w:rPr>
              <w:t>within a frequency range</w:t>
            </w:r>
            <w:r w:rsidRPr="00034CC3">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hint="eastAsia"/>
                <w:szCs w:val="21"/>
                <w:lang w:val="en-US"/>
              </w:rPr>
            </w:pPr>
            <w:r>
              <w:rPr>
                <w:rFonts w:eastAsiaTheme="minorEastAsia"/>
                <w:szCs w:val="21"/>
                <w:lang w:val="en-US"/>
              </w:rPr>
              <w:t>QC</w:t>
            </w:r>
          </w:p>
        </w:tc>
        <w:tc>
          <w:tcPr>
            <w:tcW w:w="4494" w:type="pct"/>
          </w:tcPr>
          <w:p w14:paraId="507C4EB0" w14:textId="0C9606DD" w:rsidR="005214C6" w:rsidRDefault="005214C6" w:rsidP="00FE08EF">
            <w:pPr>
              <w:spacing w:line="276" w:lineRule="auto"/>
              <w:rPr>
                <w:rFonts w:eastAsiaTheme="minorEastAsia" w:hint="eastAsia"/>
                <w:bCs/>
                <w:szCs w:val="24"/>
              </w:rPr>
            </w:pPr>
            <w:r>
              <w:rPr>
                <w:rFonts w:eastAsiaTheme="minorEastAsia"/>
                <w:bCs/>
                <w:szCs w:val="24"/>
              </w:rPr>
              <w:t>Support Alt 2</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lastRenderedPageBreak/>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w:t>
            </w:r>
            <w:proofErr w:type="gramStart"/>
            <w:r>
              <w:rPr>
                <w:rFonts w:eastAsiaTheme="minorEastAsia"/>
                <w:szCs w:val="21"/>
                <w:lang w:val="en-US"/>
              </w:rPr>
              <w:t>Regardless</w:t>
            </w:r>
            <w:proofErr w:type="gramEnd"/>
            <w:r>
              <w:rPr>
                <w:rFonts w:eastAsiaTheme="minorEastAsia"/>
                <w:szCs w:val="21"/>
                <w:lang w:val="en-US"/>
              </w:rPr>
              <w:t xml:space="preserve">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lastRenderedPageBreak/>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ListParagraph"/>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hint="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hint="eastAsia"/>
                <w:szCs w:val="21"/>
                <w:lang w:val="en-US"/>
              </w:rPr>
            </w:pPr>
            <w:r>
              <w:rPr>
                <w:rFonts w:eastAsiaTheme="minorEastAsia"/>
                <w:szCs w:val="21"/>
                <w:lang w:val="en-US"/>
              </w:rPr>
              <w:t xml:space="preserve">We prefer to </w:t>
            </w:r>
            <w:proofErr w:type="spellStart"/>
            <w:r>
              <w:rPr>
                <w:rFonts w:eastAsiaTheme="minorEastAsia"/>
                <w:szCs w:val="21"/>
                <w:lang w:val="en-US"/>
              </w:rPr>
              <w:t>to</w:t>
            </w:r>
            <w:proofErr w:type="spellEnd"/>
            <w:r>
              <w:rPr>
                <w:rFonts w:eastAsiaTheme="minorEastAsia"/>
                <w:szCs w:val="21"/>
                <w:lang w:val="en-US"/>
              </w:rPr>
              <w:t xml:space="preserve"> retain “per BC” --- helps with IODTs as initial implementations may not extend support for CA scenarios.</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77777777" w:rsidR="00CF089F" w:rsidRDefault="00CF089F" w:rsidP="00CF089F">
            <w:pPr>
              <w:spacing w:after="120"/>
              <w:jc w:val="both"/>
              <w:outlineLvl w:val="2"/>
              <w:rPr>
                <w:b/>
                <w:bCs/>
                <w:szCs w:val="24"/>
              </w:rPr>
            </w:pPr>
            <w:r>
              <w:rPr>
                <w:b/>
                <w:bCs/>
                <w:szCs w:val="24"/>
                <w:highlight w:val="yellow"/>
              </w:rPr>
              <w:t>Updated Proposal 2-2-3:</w:t>
            </w:r>
          </w:p>
          <w:p w14:paraId="640A10B3" w14:textId="718D7C0C" w:rsidR="00CF089F" w:rsidRDefault="00CF089F" w:rsidP="00CF089F">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ListParagraph"/>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ListParagraph"/>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 xml:space="preserve">Alt. 2. Suggest </w:t>
            </w:r>
            <w:proofErr w:type="gramStart"/>
            <w:r>
              <w:rPr>
                <w:rFonts w:eastAsiaTheme="minorEastAsia"/>
                <w:szCs w:val="21"/>
                <w:lang w:val="en-US"/>
              </w:rPr>
              <w:t>to get</w:t>
            </w:r>
            <w:proofErr w:type="gramEnd"/>
            <w:r>
              <w:rPr>
                <w:rFonts w:eastAsiaTheme="minorEastAsia"/>
                <w:szCs w:val="21"/>
                <w:lang w:val="en-US"/>
              </w:rPr>
              <w:t xml:space="preserve">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lastRenderedPageBreak/>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ListParagraph"/>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lastRenderedPageBreak/>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DEBC" w14:textId="77777777" w:rsidR="003D11D4" w:rsidRDefault="003D11D4">
      <w:r>
        <w:separator/>
      </w:r>
    </w:p>
  </w:endnote>
  <w:endnote w:type="continuationSeparator" w:id="0">
    <w:p w14:paraId="04A906C2" w14:textId="77777777" w:rsidR="003D11D4" w:rsidRDefault="003D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charset w:val="00"/>
    <w:family w:val="roman"/>
    <w:pitch w:val="variable"/>
    <w:sig w:usb0="00000000" w:usb1="C8077841" w:usb2="00000019" w:usb3="00000000" w:csb0="0002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C0ACAA5" w:rsidR="00C2205B" w:rsidRDefault="00C2205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3E70" w14:textId="77777777" w:rsidR="003D11D4" w:rsidRDefault="003D11D4">
      <w:r>
        <w:separator/>
      </w:r>
    </w:p>
  </w:footnote>
  <w:footnote w:type="continuationSeparator" w:id="0">
    <w:p w14:paraId="7161131B" w14:textId="77777777" w:rsidR="003D11D4" w:rsidRDefault="003D1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463154853">
    <w:abstractNumId w:val="5"/>
  </w:num>
  <w:num w:numId="2" w16cid:durableId="1444693742">
    <w:abstractNumId w:val="13"/>
  </w:num>
  <w:num w:numId="3" w16cid:durableId="1049761998">
    <w:abstractNumId w:val="31"/>
  </w:num>
  <w:num w:numId="4" w16cid:durableId="1681271162">
    <w:abstractNumId w:val="38"/>
  </w:num>
  <w:num w:numId="5" w16cid:durableId="1635863548">
    <w:abstractNumId w:val="10"/>
  </w:num>
  <w:num w:numId="6" w16cid:durableId="1171260263">
    <w:abstractNumId w:val="22"/>
  </w:num>
  <w:num w:numId="7" w16cid:durableId="900748623">
    <w:abstractNumId w:val="17"/>
  </w:num>
  <w:num w:numId="8" w16cid:durableId="631516281">
    <w:abstractNumId w:val="25"/>
  </w:num>
  <w:num w:numId="9" w16cid:durableId="133907946">
    <w:abstractNumId w:val="34"/>
  </w:num>
  <w:num w:numId="10" w16cid:durableId="1548254997">
    <w:abstractNumId w:val="39"/>
  </w:num>
  <w:num w:numId="11" w16cid:durableId="155733873">
    <w:abstractNumId w:val="35"/>
  </w:num>
  <w:num w:numId="12" w16cid:durableId="1171066280">
    <w:abstractNumId w:val="30"/>
  </w:num>
  <w:num w:numId="13" w16cid:durableId="1732998563">
    <w:abstractNumId w:val="4"/>
  </w:num>
  <w:num w:numId="14" w16cid:durableId="1979531887">
    <w:abstractNumId w:val="1"/>
  </w:num>
  <w:num w:numId="15" w16cid:durableId="211233074">
    <w:abstractNumId w:val="21"/>
  </w:num>
  <w:num w:numId="16" w16cid:durableId="1729108446">
    <w:abstractNumId w:val="0"/>
  </w:num>
  <w:num w:numId="17" w16cid:durableId="1278485784">
    <w:abstractNumId w:val="23"/>
  </w:num>
  <w:num w:numId="18" w16cid:durableId="1004891923">
    <w:abstractNumId w:val="19"/>
  </w:num>
  <w:num w:numId="19" w16cid:durableId="2044935530">
    <w:abstractNumId w:val="15"/>
  </w:num>
  <w:num w:numId="20" w16cid:durableId="1456096278">
    <w:abstractNumId w:val="36"/>
  </w:num>
  <w:num w:numId="21" w16cid:durableId="2029745320">
    <w:abstractNumId w:val="8"/>
  </w:num>
  <w:num w:numId="22" w16cid:durableId="951940201">
    <w:abstractNumId w:val="18"/>
  </w:num>
  <w:num w:numId="23" w16cid:durableId="915285033">
    <w:abstractNumId w:val="28"/>
  </w:num>
  <w:num w:numId="24" w16cid:durableId="1071805644">
    <w:abstractNumId w:val="2"/>
  </w:num>
  <w:num w:numId="25" w16cid:durableId="157308341">
    <w:abstractNumId w:val="32"/>
  </w:num>
  <w:num w:numId="26" w16cid:durableId="442070849">
    <w:abstractNumId w:val="33"/>
  </w:num>
  <w:num w:numId="27" w16cid:durableId="1611819058">
    <w:abstractNumId w:val="20"/>
  </w:num>
  <w:num w:numId="28" w16cid:durableId="776144611">
    <w:abstractNumId w:val="7"/>
  </w:num>
  <w:num w:numId="29" w16cid:durableId="1522166096">
    <w:abstractNumId w:val="29"/>
  </w:num>
  <w:num w:numId="30" w16cid:durableId="11340483">
    <w:abstractNumId w:val="24"/>
  </w:num>
  <w:num w:numId="31" w16cid:durableId="1871797214">
    <w:abstractNumId w:val="3"/>
  </w:num>
  <w:num w:numId="32" w16cid:durableId="1631015889">
    <w:abstractNumId w:val="11"/>
  </w:num>
  <w:num w:numId="33" w16cid:durableId="976448693">
    <w:abstractNumId w:val="16"/>
  </w:num>
  <w:num w:numId="34" w16cid:durableId="444731503">
    <w:abstractNumId w:val="12"/>
  </w:num>
  <w:num w:numId="35" w16cid:durableId="1212419291">
    <w:abstractNumId w:val="27"/>
  </w:num>
  <w:num w:numId="36" w16cid:durableId="1470324783">
    <w:abstractNumId w:val="26"/>
  </w:num>
  <w:num w:numId="37" w16cid:durableId="1212234352">
    <w:abstractNumId w:val="37"/>
  </w:num>
  <w:num w:numId="38" w16cid:durableId="1085569317">
    <w:abstractNumId w:val="9"/>
  </w:num>
  <w:num w:numId="39" w16cid:durableId="1543667527">
    <w:abstractNumId w:val="14"/>
  </w:num>
  <w:num w:numId="40" w16cid:durableId="674378792">
    <w:abstractNumId w:val="19"/>
  </w:num>
  <w:num w:numId="41" w16cid:durableId="493377145">
    <w:abstractNumId w:val="6"/>
  </w:num>
  <w:num w:numId="42" w16cid:durableId="11294622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B36"/>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SimSun"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5.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B0D5A3-A0AE-4BD3-8FAB-0F7AE900C27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11639</Words>
  <Characters>66345</Characters>
  <Application>Microsoft Office Word</Application>
  <DocSecurity>0</DocSecurity>
  <Lines>552</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Gokul Sridharan</cp:lastModifiedBy>
  <cp:revision>2</cp:revision>
  <cp:lastPrinted>2017-08-08T16:40:00Z</cp:lastPrinted>
  <dcterms:created xsi:type="dcterms:W3CDTF">2022-10-17T01:12:00Z</dcterms:created>
  <dcterms:modified xsi:type="dcterms:W3CDTF">2022-10-17T01:12:00Z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