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맑은 고딕"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맑은 고딕" w:hAnsi="Arial"/>
          <w:b/>
          <w:lang w:val="pt-BR" w:eastAsia="en-US"/>
        </w:rPr>
        <w:t>Agenda item:</w:t>
      </w:r>
      <w:r w:rsidRPr="0066333A">
        <w:rPr>
          <w:rFonts w:ascii="Arial" w:eastAsia="맑은 고딕" w:hAnsi="Arial"/>
          <w:lang w:val="pt-BR" w:eastAsia="en-US"/>
        </w:rPr>
        <w:tab/>
      </w:r>
      <w:bookmarkStart w:id="0" w:name="Source"/>
      <w:bookmarkEnd w:id="0"/>
      <w:r w:rsidRPr="0066333A">
        <w:rPr>
          <w:rFonts w:ascii="Arial" w:eastAsia="MS Mincho" w:hAnsi="Arial" w:hint="eastAsia"/>
          <w:lang w:val="pt-BR"/>
        </w:rPr>
        <w:t>8</w:t>
      </w:r>
      <w:r w:rsidRPr="0066333A">
        <w:rPr>
          <w:rFonts w:ascii="Arial" w:eastAsia="맑은 고딕"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맑은 고딕" w:hAnsi="Arial"/>
          <w:b/>
          <w:lang w:val="pt-BR" w:eastAsia="en-US"/>
        </w:rPr>
        <w:t xml:space="preserve">Source: </w:t>
      </w:r>
      <w:r w:rsidRPr="0066333A">
        <w:rPr>
          <w:rFonts w:ascii="Arial" w:eastAsia="맑은 고딕" w:hAnsi="Arial"/>
          <w:b/>
          <w:lang w:val="pt-BR" w:eastAsia="en-US"/>
        </w:rPr>
        <w:tab/>
      </w:r>
      <w:r w:rsidRPr="0066333A">
        <w:rPr>
          <w:rFonts w:ascii="Arial" w:eastAsia="맑은 고딕" w:hAnsi="Arial"/>
          <w:bCs/>
          <w:lang w:val="pt-BR" w:eastAsia="en-US"/>
        </w:rPr>
        <w:t>Moderator (</w:t>
      </w:r>
      <w:r w:rsidRPr="0066333A">
        <w:rPr>
          <w:rFonts w:ascii="Arial" w:eastAsia="맑은 고딕"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Summary</w:t>
      </w:r>
      <w:r w:rsidR="007B10BA">
        <w:rPr>
          <w:rFonts w:ascii="Arial" w:eastAsia="맑은 고딕" w:hAnsi="Arial"/>
          <w:bCs/>
          <w:lang w:val="en-US" w:eastAsia="en-US"/>
        </w:rPr>
        <w:t>#1</w:t>
      </w:r>
      <w:r>
        <w:rPr>
          <w:rFonts w:ascii="Arial" w:eastAsia="맑은 고딕" w:hAnsi="Arial"/>
          <w:bCs/>
          <w:lang w:val="en-US" w:eastAsia="en-US"/>
        </w:rPr>
        <w:t xml:space="preserve"> on </w:t>
      </w:r>
      <w:r w:rsidR="00F50D6A" w:rsidRPr="00F50D6A">
        <w:rPr>
          <w:rFonts w:ascii="Arial" w:eastAsia="맑은 고딕"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af9"/>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In [1], there are following FGs including yellow highlighted part in RAN1 UE feature list for N</w:t>
      </w:r>
      <w:r>
        <w:rPr>
          <w:rFonts w:eastAsiaTheme="minorEastAsia"/>
          <w:sz w:val="22"/>
        </w:rPr>
        <w:t>R</w:t>
      </w:r>
      <w:r w:rsidRPr="002149AC">
        <w:rPr>
          <w:rFonts w:eastAsiaTheme="minorEastAsia"/>
          <w:sz w:val="22"/>
        </w:rPr>
        <w:t>_cov_enh.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w:t>
                  </w:r>
                  <w:r w:rsidRPr="00FE0D16">
                    <w:rPr>
                      <w:rFonts w:ascii="Times New Roman" w:hAnsi="Times New Roman"/>
                      <w:szCs w:val="18"/>
                      <w:lang w:eastAsia="zh-CN"/>
                    </w:rPr>
                    <w:lastRenderedPageBreak/>
                    <w:t>inter-slot 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r w:rsidRPr="0067531B">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r w:rsidRPr="00D2256E">
              <w:rPr>
                <w:b/>
                <w:bCs/>
                <w:i/>
                <w:iCs/>
                <w:szCs w:val="21"/>
              </w:rPr>
              <w:t xml:space="preserve">roposal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af9"/>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af9"/>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lastRenderedPageBreak/>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d"/>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d"/>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a5"/>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5"/>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5"/>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5"/>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r w:rsidRPr="005B195B">
                    <w:rPr>
                      <w:rFonts w:ascii="Times New Roman" w:hAnsi="Times New Roman"/>
                      <w:szCs w:val="18"/>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pPr>
              <w:pStyle w:val="a5"/>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7"/>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a5"/>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5"/>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5"/>
              <w:spacing w:before="240"/>
            </w:pPr>
            <w:r>
              <w:rPr>
                <w:rFonts w:cstheme="minorHAnsi"/>
              </w:rPr>
              <w:t xml:space="preserve">An alternative approach could be based on the </w:t>
            </w:r>
            <w:r>
              <w:t>definition of powerClass in 38.306, which has both per band and per band combination capabilities.  Here we illustrate using 30-4, but this should be applied to the DMRS bundling sub-features.</w:t>
            </w:r>
          </w:p>
          <w:p w14:paraId="52F3C358" w14:textId="77777777" w:rsidR="001F7736" w:rsidRDefault="001F7736" w:rsidP="001F7736">
            <w:pPr>
              <w:pStyle w:val="a7"/>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5"/>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r w:rsidRPr="00BD36FD">
              <w:rPr>
                <w:rFonts w:cstheme="minorHAnsi"/>
              </w:rPr>
              <w:t>IoDT test</w:t>
            </w:r>
            <w:r>
              <w:rPr>
                <w:rFonts w:cstheme="minorHAnsi"/>
              </w:rPr>
              <w:t xml:space="preserve"> issues.</w:t>
            </w:r>
          </w:p>
          <w:p w14:paraId="37E0E586" w14:textId="77777777" w:rsidR="001F7736" w:rsidRDefault="001F7736" w:rsidP="001F7736">
            <w:pPr>
              <w:pStyle w:val="a7"/>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9"/>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맑은 고딕"/>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r w:rsidRPr="001774BD">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afd"/>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afd"/>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pPr>
              <w:numPr>
                <w:ilvl w:val="0"/>
                <w:numId w:val="22"/>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af9"/>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d"/>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d"/>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d"/>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d"/>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d"/>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9"/>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lastRenderedPageBreak/>
              <w:t>QC</w:t>
            </w:r>
          </w:p>
        </w:tc>
        <w:tc>
          <w:tcPr>
            <w:tcW w:w="4494" w:type="pct"/>
          </w:tcPr>
          <w:p w14:paraId="70D81DFA" w14:textId="5CDC4E4A" w:rsidR="00395DC4" w:rsidRPr="004A7F25" w:rsidRDefault="00764FC4" w:rsidP="005217E3">
            <w:pPr>
              <w:rPr>
                <w:rFonts w:eastAsiaTheme="minorEastAsia"/>
                <w:szCs w:val="21"/>
                <w:lang w:val="en-US"/>
              </w:rPr>
            </w:pPr>
            <w:r>
              <w:rPr>
                <w:rFonts w:eastAsiaTheme="minorEastAsia"/>
                <w:szCs w:val="21"/>
                <w:lang w:val="en-US"/>
              </w:rPr>
              <w:t>Lets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맑은 고딕"/>
                <w:szCs w:val="21"/>
                <w:lang w:eastAsia="ko-KR"/>
              </w:rPr>
            </w:pPr>
            <w:r>
              <w:rPr>
                <w:rFonts w:eastAsia="맑은 고딕" w:hint="eastAsia"/>
                <w:szCs w:val="21"/>
                <w:lang w:eastAsia="ko-KR"/>
              </w:rPr>
              <w:t>Samsung</w:t>
            </w:r>
          </w:p>
        </w:tc>
        <w:tc>
          <w:tcPr>
            <w:tcW w:w="4494" w:type="pct"/>
          </w:tcPr>
          <w:p w14:paraId="53A21977" w14:textId="0BCFAF68" w:rsidR="005217E3" w:rsidRPr="005217E3" w:rsidRDefault="005217E3" w:rsidP="00606006">
            <w:pPr>
              <w:rPr>
                <w:rFonts w:eastAsia="맑은 고딕"/>
                <w:szCs w:val="21"/>
                <w:lang w:eastAsia="ko-KR"/>
              </w:rPr>
            </w:pPr>
            <w:r>
              <w:rPr>
                <w:rFonts w:eastAsia="맑은 고딕"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맑은 고딕"/>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d"/>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d"/>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d"/>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d"/>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d"/>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9"/>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맑은 고딕"/>
                <w:szCs w:val="21"/>
                <w:lang w:eastAsia="ko-KR"/>
              </w:rPr>
            </w:pPr>
            <w:r>
              <w:rPr>
                <w:rFonts w:eastAsia="맑은 고딕" w:hint="eastAsia"/>
                <w:szCs w:val="21"/>
                <w:lang w:eastAsia="ko-KR"/>
              </w:rPr>
              <w:t>Sa</w:t>
            </w:r>
            <w:r>
              <w:rPr>
                <w:rFonts w:eastAsia="맑은 고딕"/>
                <w:szCs w:val="21"/>
                <w:lang w:eastAsia="ko-KR"/>
              </w:rPr>
              <w:t>msung</w:t>
            </w:r>
          </w:p>
        </w:tc>
        <w:tc>
          <w:tcPr>
            <w:tcW w:w="4494" w:type="pct"/>
          </w:tcPr>
          <w:p w14:paraId="1DC8E6EA" w14:textId="5DA71ED4" w:rsidR="005217E3" w:rsidRPr="005217E3" w:rsidRDefault="005217E3" w:rsidP="00606006">
            <w:pPr>
              <w:rPr>
                <w:rFonts w:eastAsia="맑은 고딕"/>
                <w:szCs w:val="21"/>
                <w:lang w:eastAsia="ko-KR"/>
              </w:rPr>
            </w:pPr>
            <w:r>
              <w:rPr>
                <w:rFonts w:eastAsia="맑은 고딕"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맑은 고딕"/>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lastRenderedPageBreak/>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맑은 고딕"/>
                <w:szCs w:val="21"/>
                <w:lang w:val="en-US" w:eastAsia="ko-KR"/>
              </w:rPr>
            </w:pPr>
            <w:r>
              <w:rPr>
                <w:rFonts w:eastAsia="맑은 고딕" w:hint="eastAsia"/>
                <w:szCs w:val="21"/>
                <w:lang w:val="en-US" w:eastAsia="ko-KR"/>
              </w:rPr>
              <w:t>S</w:t>
            </w:r>
            <w:r>
              <w:rPr>
                <w:rFonts w:eastAsia="맑은 고딕"/>
                <w:szCs w:val="21"/>
                <w:lang w:val="en-US" w:eastAsia="ko-KR"/>
              </w:rPr>
              <w:t>amsung</w:t>
            </w:r>
          </w:p>
        </w:tc>
        <w:tc>
          <w:tcPr>
            <w:tcW w:w="4494" w:type="pct"/>
          </w:tcPr>
          <w:p w14:paraId="1FD31EA2" w14:textId="01A8A625" w:rsidR="007C5779" w:rsidRPr="007C5779" w:rsidRDefault="007C5779" w:rsidP="007F6C82">
            <w:pPr>
              <w:rPr>
                <w:rFonts w:eastAsia="맑은 고딕"/>
                <w:szCs w:val="21"/>
                <w:lang w:val="en-US" w:eastAsia="ko-KR"/>
              </w:rPr>
            </w:pPr>
            <w:r>
              <w:rPr>
                <w:rFonts w:eastAsia="맑은 고딕" w:hint="eastAsia"/>
                <w:szCs w:val="21"/>
                <w:lang w:val="en-US" w:eastAsia="ko-KR"/>
              </w:rPr>
              <w:t>Su</w:t>
            </w:r>
            <w:r>
              <w:rPr>
                <w:rFonts w:eastAsia="맑은 고딕"/>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맑은 고딕"/>
                <w:szCs w:val="21"/>
                <w:lang w:val="en-US" w:eastAsia="ko-KR"/>
              </w:rPr>
            </w:pPr>
            <w:r>
              <w:rPr>
                <w:rFonts w:eastAsia="맑은 고딕"/>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d"/>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d"/>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d"/>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9"/>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 xml:space="preserve">after the </w:t>
                  </w:r>
                  <w:r w:rsidRPr="00444DA2">
                    <w:rPr>
                      <w:rFonts w:ascii="Arial" w:eastAsia="SimSun" w:hAnsi="Arial" w:cs="Arial"/>
                      <w:strike/>
                      <w:color w:val="FF0000"/>
                      <w:sz w:val="18"/>
                      <w:szCs w:val="18"/>
                      <w:lang w:eastAsia="zh-CN"/>
                    </w:rPr>
                    <w:lastRenderedPageBreak/>
                    <w:t>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lastRenderedPageBreak/>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맑은 고딕"/>
                <w:szCs w:val="21"/>
                <w:lang w:eastAsia="ko-KR"/>
              </w:rPr>
            </w:pPr>
            <w:r>
              <w:rPr>
                <w:rFonts w:eastAsia="맑은 고딕" w:hint="eastAsia"/>
                <w:szCs w:val="21"/>
                <w:lang w:eastAsia="ko-KR"/>
              </w:rPr>
              <w:t>Samsung</w:t>
            </w:r>
          </w:p>
        </w:tc>
        <w:tc>
          <w:tcPr>
            <w:tcW w:w="4494" w:type="pct"/>
          </w:tcPr>
          <w:p w14:paraId="25B12249" w14:textId="662BB9A1" w:rsidR="005217E3" w:rsidRPr="005217E3" w:rsidRDefault="005217E3" w:rsidP="00934F32">
            <w:pPr>
              <w:rPr>
                <w:rFonts w:eastAsia="맑은 고딕"/>
                <w:szCs w:val="21"/>
                <w:lang w:eastAsia="ko-KR"/>
              </w:rPr>
            </w:pPr>
            <w:r>
              <w:rPr>
                <w:rFonts w:eastAsia="맑은 고딕" w:hint="eastAsia"/>
                <w:szCs w:val="21"/>
                <w:lang w:eastAsia="ko-KR"/>
              </w:rPr>
              <w:t>Alt.1-1</w:t>
            </w:r>
            <w:r>
              <w:rPr>
                <w:rFonts w:eastAsia="맑은 고딕"/>
                <w:szCs w:val="21"/>
                <w:lang w:eastAsia="ko-KR"/>
              </w:rPr>
              <w:t xml:space="preserve">. We are open to Ericsson’s suggestion. If we go for </w:t>
            </w:r>
            <w:r w:rsidR="00934F32">
              <w:rPr>
                <w:rFonts w:eastAsia="맑은 고딕"/>
                <w:szCs w:val="21"/>
                <w:lang w:eastAsia="ko-KR"/>
              </w:rPr>
              <w:t>that alternative, we would suggest RAN2 update RRC descricption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맑은 고딕"/>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d"/>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d"/>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d"/>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d"/>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맑은 고딕"/>
                <w:szCs w:val="21"/>
                <w:lang w:val="en-US" w:eastAsia="ko-KR"/>
              </w:rPr>
            </w:pPr>
            <w:r>
              <w:rPr>
                <w:rFonts w:eastAsia="맑은 고딕" w:hint="eastAsia"/>
                <w:szCs w:val="21"/>
                <w:lang w:val="en-US" w:eastAsia="ko-KR"/>
              </w:rPr>
              <w:t>Samsu</w:t>
            </w:r>
            <w:r>
              <w:rPr>
                <w:rFonts w:eastAsia="맑은 고딕"/>
                <w:szCs w:val="21"/>
                <w:lang w:val="en-US" w:eastAsia="ko-KR"/>
              </w:rPr>
              <w:t>ng</w:t>
            </w:r>
          </w:p>
        </w:tc>
        <w:tc>
          <w:tcPr>
            <w:tcW w:w="4494" w:type="pct"/>
          </w:tcPr>
          <w:p w14:paraId="2B3D4C14" w14:textId="0FD69EB5" w:rsidR="007C5779" w:rsidRDefault="007C5779" w:rsidP="00615742">
            <w:pPr>
              <w:rPr>
                <w:rFonts w:eastAsia="맑은 고딕"/>
                <w:szCs w:val="21"/>
                <w:lang w:val="en-US" w:eastAsia="ko-KR"/>
              </w:rPr>
            </w:pPr>
            <w:r>
              <w:rPr>
                <w:rFonts w:eastAsia="맑은 고딕" w:hint="eastAsia"/>
                <w:szCs w:val="21"/>
                <w:lang w:val="en-US" w:eastAsia="ko-KR"/>
              </w:rPr>
              <w:t xml:space="preserve">Fine. </w:t>
            </w:r>
            <w:r w:rsidR="00E254C9">
              <w:rPr>
                <w:rFonts w:eastAsia="맑은 고딕"/>
                <w:szCs w:val="21"/>
                <w:lang w:val="en-US" w:eastAsia="ko-KR"/>
              </w:rPr>
              <w:t xml:space="preserve">As we commented above, if we go with Alt.1-2 or 1-4, we may </w:t>
            </w:r>
            <w:r w:rsidR="002606DA">
              <w:rPr>
                <w:rFonts w:eastAsia="맑은 고딕"/>
                <w:szCs w:val="21"/>
                <w:lang w:val="en-US" w:eastAsia="ko-KR"/>
              </w:rPr>
              <w:t xml:space="preserve">explicitly inform </w:t>
            </w:r>
            <w:r w:rsidR="00E254C9">
              <w:rPr>
                <w:rFonts w:eastAsia="맑은 고딕"/>
                <w:szCs w:val="21"/>
                <w:lang w:val="en-US" w:eastAsia="ko-KR"/>
              </w:rPr>
              <w:t xml:space="preserve">RAN2 </w:t>
            </w:r>
            <w:r w:rsidR="002606DA">
              <w:rPr>
                <w:rFonts w:eastAsia="맑은 고딕"/>
                <w:szCs w:val="21"/>
                <w:lang w:val="en-US" w:eastAsia="ko-KR"/>
              </w:rPr>
              <w:t xml:space="preserve">to take this into account with respect to the </w:t>
            </w:r>
            <w:r w:rsidR="00E254C9">
              <w:rPr>
                <w:rFonts w:eastAsia="맑은 고딕"/>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맑은 고딕"/>
                <w:szCs w:val="21"/>
                <w:lang w:val="en-US" w:eastAsia="ko-KR"/>
              </w:rPr>
              <w:t xml:space="preserve">For your reference, </w:t>
            </w:r>
            <w:r w:rsidR="002606DA">
              <w:rPr>
                <w:rFonts w:eastAsia="맑은 고딕"/>
                <w:szCs w:val="21"/>
                <w:lang w:val="en-US" w:eastAsia="ko-KR"/>
              </w:rPr>
              <w:t xml:space="preserve">current </w:t>
            </w:r>
            <w:r>
              <w:rPr>
                <w:rFonts w:eastAsia="맑은 고딕"/>
                <w:szCs w:val="21"/>
                <w:lang w:val="en-US" w:eastAsia="ko-KR"/>
              </w:rPr>
              <w:t xml:space="preserve">RRC parameters enabling </w:t>
            </w:r>
            <w:r w:rsidR="002606DA">
              <w:rPr>
                <w:rFonts w:eastAsia="맑은 고딕"/>
                <w:szCs w:val="21"/>
                <w:lang w:val="en-US" w:eastAsia="ko-KR"/>
              </w:rPr>
              <w:t>restarting DMRS bundling</w:t>
            </w:r>
            <w:r>
              <w:rPr>
                <w:rFonts w:eastAsia="맑은 고딕"/>
                <w:szCs w:val="21"/>
                <w:lang w:val="en-US" w:eastAsia="ko-KR"/>
              </w:rPr>
              <w:t xml:space="preserve"> based on the FG30-4g are copied below:</w:t>
            </w:r>
          </w:p>
          <w:tbl>
            <w:tblPr>
              <w:tblStyle w:val="af9"/>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r w:rsidRPr="00E37047">
                    <w:rPr>
                      <w:b/>
                      <w:i/>
                      <w:szCs w:val="22"/>
                      <w:lang w:eastAsia="sv-SE"/>
                    </w:rPr>
                    <w:t>pusch-WindowRestart</w:t>
                  </w:r>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r w:rsidRPr="00E37047">
                    <w:rPr>
                      <w:rFonts w:ascii="Arial" w:eastAsia="Times New Roman" w:hAnsi="Arial"/>
                      <w:b/>
                      <w:i/>
                      <w:sz w:val="18"/>
                      <w:szCs w:val="22"/>
                      <w:lang w:eastAsia="sv-SE"/>
                    </w:rPr>
                    <w:lastRenderedPageBreak/>
                    <w:t>pucch-WindowRestart</w:t>
                  </w:r>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맑은 고딕"/>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맑은 고딕"/>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맑은 고딕"/>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afd"/>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afd"/>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Yu Gothic"/>
                <w:b/>
                <w:bCs/>
                <w:szCs w:val="24"/>
                <w:lang w:val="en-US"/>
              </w:rPr>
            </w:pPr>
            <w:r>
              <w:rPr>
                <w:rFonts w:hint="eastAsia"/>
                <w:b/>
                <w:bCs/>
                <w:highlight w:val="yellow"/>
              </w:rPr>
              <w:t>Updated Proposal 2-1-3:</w:t>
            </w:r>
          </w:p>
          <w:p w14:paraId="7E30FB76" w14:textId="77777777" w:rsidR="00524C15" w:rsidRDefault="00524C15">
            <w:pPr>
              <w:pStyle w:val="afd"/>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afd"/>
              <w:numPr>
                <w:ilvl w:val="1"/>
                <w:numId w:val="40"/>
              </w:numPr>
              <w:ind w:leftChars="0"/>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r>
              <w:rPr>
                <w:rFonts w:hint="eastAsia"/>
                <w:b/>
                <w:bCs/>
                <w:i/>
                <w:iCs/>
              </w:rPr>
              <w:t>pusch-WindowRestart, pucch-WindowRestart</w:t>
            </w:r>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hint="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맑은 고딕" w:hint="eastAsia"/>
                <w:szCs w:val="21"/>
                <w:lang w:eastAsia="ko-KR"/>
              </w:rPr>
            </w:pPr>
            <w:r>
              <w:rPr>
                <w:rFonts w:eastAsia="맑은 고딕" w:hint="eastAsia"/>
                <w:szCs w:val="21"/>
                <w:lang w:eastAsia="ko-KR"/>
              </w:rPr>
              <w:t>Support</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d"/>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d"/>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d"/>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d"/>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9"/>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lastRenderedPageBreak/>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맑은 고딕"/>
                <w:szCs w:val="21"/>
                <w:lang w:eastAsia="ko-KR"/>
              </w:rPr>
            </w:pPr>
            <w:r>
              <w:rPr>
                <w:rFonts w:eastAsia="맑은 고딕" w:hint="eastAsia"/>
                <w:szCs w:val="21"/>
                <w:lang w:eastAsia="ko-KR"/>
              </w:rPr>
              <w:t>S</w:t>
            </w:r>
            <w:r>
              <w:rPr>
                <w:rFonts w:eastAsia="맑은 고딕"/>
                <w:szCs w:val="21"/>
                <w:lang w:eastAsia="ko-KR"/>
              </w:rPr>
              <w:t>amsung</w:t>
            </w:r>
          </w:p>
        </w:tc>
        <w:tc>
          <w:tcPr>
            <w:tcW w:w="4494" w:type="pct"/>
          </w:tcPr>
          <w:p w14:paraId="42AA02EA" w14:textId="055D34E4" w:rsidR="00934F32" w:rsidRPr="00934F32" w:rsidRDefault="00934F32" w:rsidP="00606006">
            <w:pPr>
              <w:rPr>
                <w:rFonts w:eastAsia="맑은 고딕"/>
                <w:szCs w:val="21"/>
                <w:lang w:eastAsia="ko-KR"/>
              </w:rPr>
            </w:pPr>
            <w:r>
              <w:rPr>
                <w:rFonts w:eastAsia="맑은 고딕"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맑은 고딕"/>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afd"/>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Yu Gothic"/>
                <w:b/>
                <w:bCs/>
                <w:szCs w:val="24"/>
                <w:lang w:val="en-US"/>
              </w:rPr>
            </w:pPr>
            <w:r>
              <w:rPr>
                <w:rFonts w:hint="eastAsia"/>
                <w:b/>
                <w:bCs/>
                <w:highlight w:val="yellow"/>
              </w:rPr>
              <w:t>Updated Proposal 2-1-4:</w:t>
            </w:r>
          </w:p>
          <w:p w14:paraId="767EAEF0" w14:textId="77777777" w:rsidR="00524C15" w:rsidRDefault="00524C15" w:rsidP="00524C15">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afd"/>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맑은 고딕" w:hint="eastAsia"/>
                <w:szCs w:val="21"/>
                <w:lang w:eastAsia="ko-KR"/>
              </w:rPr>
            </w:pPr>
            <w:r>
              <w:rPr>
                <w:rFonts w:eastAsia="맑은 고딕" w:hint="eastAsia"/>
                <w:szCs w:val="21"/>
                <w:lang w:eastAsia="ko-KR"/>
              </w:rPr>
              <w:t xml:space="preserve">Samsung </w:t>
            </w:r>
          </w:p>
        </w:tc>
        <w:tc>
          <w:tcPr>
            <w:tcW w:w="4494" w:type="pct"/>
          </w:tcPr>
          <w:p w14:paraId="0F4A1C41" w14:textId="1C4E11DB" w:rsidR="00952113" w:rsidRPr="00952113" w:rsidRDefault="00952113" w:rsidP="00962877">
            <w:pPr>
              <w:rPr>
                <w:rFonts w:eastAsia="맑은 고딕" w:hint="eastAsia"/>
                <w:szCs w:val="21"/>
                <w:lang w:eastAsia="ko-KR"/>
              </w:rPr>
            </w:pPr>
            <w:r>
              <w:rPr>
                <w:rFonts w:eastAsia="맑은 고딕" w:hint="eastAsia"/>
                <w:szCs w:val="21"/>
                <w:lang w:eastAsia="ko-KR"/>
              </w:rPr>
              <w:t>Support</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MS Mincho"/>
          <w:b/>
          <w:bCs/>
          <w:szCs w:val="24"/>
          <w:lang w:val="en-US"/>
        </w:rPr>
      </w:pPr>
      <w:r>
        <w:rPr>
          <w:rFonts w:eastAsia="MS Mincho"/>
          <w:b/>
          <w:bCs/>
          <w:szCs w:val="24"/>
          <w:lang w:val="en-US"/>
        </w:rPr>
        <w:lastRenderedPageBreak/>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afd"/>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afd"/>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d"/>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d"/>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d"/>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d"/>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d"/>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9"/>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맑은 고딕"/>
                <w:szCs w:val="21"/>
                <w:lang w:val="en-US" w:eastAsia="ko-KR"/>
              </w:rPr>
            </w:pPr>
            <w:r>
              <w:rPr>
                <w:rFonts w:eastAsia="맑은 고딕"/>
                <w:szCs w:val="21"/>
                <w:lang w:val="en-US" w:eastAsia="ko-KR"/>
              </w:rPr>
              <w:t>Intel</w:t>
            </w:r>
          </w:p>
        </w:tc>
        <w:tc>
          <w:tcPr>
            <w:tcW w:w="4494" w:type="pct"/>
          </w:tcPr>
          <w:p w14:paraId="0EB1776C" w14:textId="77777777" w:rsidR="003A2C87" w:rsidRDefault="002B4D1E" w:rsidP="005217E3">
            <w:pPr>
              <w:rPr>
                <w:rFonts w:eastAsia="맑은 고딕"/>
                <w:szCs w:val="21"/>
                <w:lang w:val="en-US" w:eastAsia="ko-KR"/>
              </w:rPr>
            </w:pPr>
            <w:r>
              <w:rPr>
                <w:rFonts w:eastAsia="맑은 고딕"/>
                <w:szCs w:val="21"/>
                <w:lang w:val="en-US" w:eastAsia="ko-KR"/>
              </w:rPr>
              <w:t xml:space="preserve">We are fine with the main sub-bullet. </w:t>
            </w:r>
          </w:p>
          <w:p w14:paraId="7199E542" w14:textId="63D57334" w:rsidR="001F7736" w:rsidRDefault="002B4D1E" w:rsidP="005217E3">
            <w:pPr>
              <w:rPr>
                <w:rFonts w:eastAsia="맑은 고딕"/>
                <w:szCs w:val="21"/>
                <w:lang w:val="en-US" w:eastAsia="ko-KR"/>
              </w:rPr>
            </w:pPr>
            <w:r>
              <w:rPr>
                <w:rFonts w:eastAsia="맑은 고딕"/>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맑은 고딕"/>
                <w:szCs w:val="21"/>
                <w:lang w:eastAsia="ko-KR"/>
              </w:rPr>
            </w:pPr>
            <w:r>
              <w:rPr>
                <w:rFonts w:eastAsia="맑은 고딕" w:hint="eastAsia"/>
                <w:szCs w:val="21"/>
                <w:lang w:eastAsia="ko-KR"/>
              </w:rPr>
              <w:t>Samsung</w:t>
            </w:r>
          </w:p>
        </w:tc>
        <w:tc>
          <w:tcPr>
            <w:tcW w:w="4494" w:type="pct"/>
          </w:tcPr>
          <w:p w14:paraId="08820640" w14:textId="77777777" w:rsidR="00934F32" w:rsidRDefault="00934F32" w:rsidP="00934F32">
            <w:pPr>
              <w:rPr>
                <w:rFonts w:eastAsia="맑은 고딕"/>
                <w:szCs w:val="21"/>
                <w:lang w:eastAsia="ko-KR"/>
              </w:rPr>
            </w:pPr>
            <w:r>
              <w:rPr>
                <w:rFonts w:eastAsia="맑은 고딕" w:hint="eastAsia"/>
                <w:szCs w:val="21"/>
                <w:lang w:eastAsia="ko-KR"/>
              </w:rPr>
              <w:t>Same view with Nokia</w:t>
            </w:r>
            <w:r>
              <w:rPr>
                <w:rFonts w:eastAsia="맑은 고딕"/>
                <w:szCs w:val="21"/>
                <w:lang w:eastAsia="ko-KR"/>
              </w:rPr>
              <w:t>:</w:t>
            </w:r>
          </w:p>
          <w:p w14:paraId="5B493BB3" w14:textId="71B1AEF7" w:rsidR="00934F32" w:rsidRDefault="00934F32">
            <w:pPr>
              <w:pStyle w:val="afd"/>
              <w:numPr>
                <w:ilvl w:val="0"/>
                <w:numId w:val="20"/>
              </w:numPr>
              <w:ind w:leftChars="0"/>
              <w:rPr>
                <w:rFonts w:eastAsia="맑은 고딕"/>
                <w:szCs w:val="21"/>
                <w:lang w:eastAsia="ko-KR"/>
              </w:rPr>
            </w:pPr>
            <w:r>
              <w:rPr>
                <w:rFonts w:eastAsia="맑은 고딕"/>
                <w:szCs w:val="21"/>
                <w:lang w:eastAsia="ko-KR"/>
              </w:rPr>
              <w:t>N</w:t>
            </w:r>
            <w:r w:rsidRPr="00934F32">
              <w:rPr>
                <w:rFonts w:eastAsia="맑은 고딕" w:hint="eastAsia"/>
                <w:szCs w:val="21"/>
                <w:lang w:eastAsia="ko-KR"/>
              </w:rPr>
              <w:t>o</w:t>
            </w:r>
            <w:r>
              <w:rPr>
                <w:rFonts w:eastAsia="맑은 고딕"/>
                <w:szCs w:val="21"/>
                <w:lang w:eastAsia="ko-KR"/>
              </w:rPr>
              <w:t xml:space="preserve"> more</w:t>
            </w:r>
            <w:r w:rsidRPr="00934F32">
              <w:rPr>
                <w:rFonts w:eastAsia="맑은 고딕" w:hint="eastAsia"/>
                <w:szCs w:val="21"/>
                <w:lang w:eastAsia="ko-KR"/>
              </w:rPr>
              <w:t xml:space="preserve"> </w:t>
            </w:r>
            <w:r w:rsidRPr="00934F32">
              <w:rPr>
                <w:rFonts w:eastAsia="맑은 고딕"/>
                <w:szCs w:val="21"/>
                <w:lang w:eastAsia="ko-KR"/>
              </w:rPr>
              <w:t>ping-poining within RAN1</w:t>
            </w:r>
          </w:p>
          <w:p w14:paraId="76BCB01F" w14:textId="3B1CCF4B" w:rsidR="00934F32" w:rsidRPr="00934F32" w:rsidRDefault="00934F32">
            <w:pPr>
              <w:pStyle w:val="afd"/>
              <w:numPr>
                <w:ilvl w:val="0"/>
                <w:numId w:val="20"/>
              </w:numPr>
              <w:ind w:leftChars="0"/>
              <w:rPr>
                <w:rFonts w:eastAsia="맑은 고딕"/>
                <w:szCs w:val="21"/>
                <w:lang w:eastAsia="ko-KR"/>
              </w:rPr>
            </w:pPr>
            <w:r w:rsidRPr="00934F32">
              <w:rPr>
                <w:rFonts w:eastAsia="맑은 고딕"/>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맑은 고딕"/>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Default="00D01A9F">
                  <w:pPr>
                    <w:numPr>
                      <w:ilvl w:val="0"/>
                      <w:numId w:val="39"/>
                    </w:numPr>
                    <w:spacing w:afterLines="50" w:after="120"/>
                    <w:rPr>
                      <w:rFonts w:ascii="Arial" w:hAnsi="Arial" w:cs="Arial"/>
                      <w:bCs/>
                      <w:iCs/>
                    </w:rPr>
                  </w:pPr>
                  <w:r>
                    <w:rPr>
                      <w:rFonts w:ascii="Arial" w:hAnsi="Arial" w:cs="Arial"/>
                      <w:bCs/>
                      <w:iCs/>
                    </w:rPr>
                    <w:t>DL CA with “additional” UL carrier configured with SRS only (i.e.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lastRenderedPageBreak/>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Ask RAN4 to take into account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it can be clarified that multi-carrier scenarios are applicable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afd"/>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afd"/>
              <w:numPr>
                <w:ilvl w:val="1"/>
                <w:numId w:val="9"/>
              </w:numPr>
              <w:spacing w:line="276" w:lineRule="auto"/>
              <w:ind w:leftChars="0"/>
              <w:rPr>
                <w:b/>
                <w:bCs/>
                <w:szCs w:val="24"/>
              </w:rPr>
            </w:pPr>
            <w:r>
              <w:rPr>
                <w:b/>
                <w:bCs/>
                <w:szCs w:val="24"/>
              </w:rPr>
              <w:t>This capability is applicable to following multiple carrier scenarios</w:t>
            </w:r>
          </w:p>
          <w:p w14:paraId="20F802E8"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6594302E"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afd"/>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afd"/>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afd"/>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afd"/>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afd"/>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43266F48" w14:textId="0A074C80" w:rsidR="00952113" w:rsidRPr="00952113" w:rsidRDefault="00952113" w:rsidP="005C7782">
            <w:pPr>
              <w:rPr>
                <w:rFonts w:eastAsia="맑은 고딕" w:hint="eastAsia"/>
                <w:szCs w:val="21"/>
                <w:lang w:val="en-US" w:eastAsia="ko-KR"/>
              </w:rPr>
            </w:pPr>
            <w:r>
              <w:rPr>
                <w:rFonts w:eastAsia="맑은 고딕" w:hint="eastAsia"/>
                <w:szCs w:val="21"/>
                <w:lang w:val="en-US" w:eastAsia="ko-KR"/>
              </w:rPr>
              <w:t>Support</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afd"/>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d"/>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9"/>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맑은 고딕"/>
                <w:szCs w:val="21"/>
                <w:lang w:val="en-US" w:eastAsia="ko-KR"/>
              </w:rPr>
            </w:pPr>
            <w:r>
              <w:rPr>
                <w:rFonts w:eastAsia="맑은 고딕"/>
                <w:szCs w:val="21"/>
                <w:lang w:val="en-US" w:eastAsia="ko-KR"/>
              </w:rPr>
              <w:t>Intel</w:t>
            </w:r>
          </w:p>
        </w:tc>
        <w:tc>
          <w:tcPr>
            <w:tcW w:w="4494" w:type="pct"/>
          </w:tcPr>
          <w:p w14:paraId="2FA4561C" w14:textId="5AF39DD8" w:rsidR="001F7736" w:rsidRDefault="00B768BB" w:rsidP="005217E3">
            <w:pPr>
              <w:rPr>
                <w:rFonts w:eastAsia="맑은 고딕"/>
                <w:szCs w:val="21"/>
                <w:lang w:val="en-US" w:eastAsia="ko-KR"/>
              </w:rPr>
            </w:pPr>
            <w:r>
              <w:rPr>
                <w:rFonts w:eastAsia="맑은 고딕"/>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afd"/>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afd"/>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46AF5A0C" w14:textId="630D2F49" w:rsidR="00CE4D96" w:rsidRPr="00CE4D96" w:rsidRDefault="00CE4D96" w:rsidP="00CE4D96">
            <w:pPr>
              <w:rPr>
                <w:rFonts w:eastAsia="맑은 고딕" w:hint="eastAsia"/>
                <w:szCs w:val="21"/>
                <w:lang w:val="en-US" w:eastAsia="ko-KR"/>
              </w:rPr>
            </w:pPr>
            <w:r>
              <w:rPr>
                <w:rFonts w:eastAsia="맑은 고딕" w:hint="eastAsia"/>
                <w:szCs w:val="21"/>
                <w:lang w:val="en-US" w:eastAsia="ko-KR"/>
              </w:rPr>
              <w:t>Support</w:t>
            </w:r>
          </w:p>
        </w:tc>
      </w:tr>
    </w:tbl>
    <w:p w14:paraId="49482CAF" w14:textId="004E98C8" w:rsidR="001F7736" w:rsidRPr="005B28D3"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d"/>
        <w:numPr>
          <w:ilvl w:val="1"/>
          <w:numId w:val="9"/>
        </w:numPr>
        <w:spacing w:afterLines="50" w:after="120" w:line="259" w:lineRule="auto"/>
        <w:ind w:leftChars="0"/>
        <w:jc w:val="both"/>
        <w:rPr>
          <w:b/>
          <w:bCs/>
          <w:szCs w:val="24"/>
        </w:rPr>
      </w:pPr>
      <w:r>
        <w:rPr>
          <w:b/>
          <w:bCs/>
          <w:szCs w:val="24"/>
        </w:rPr>
        <w:t>Alt.3: Per FS [4,5]</w:t>
      </w:r>
    </w:p>
    <w:tbl>
      <w:tblPr>
        <w:tblStyle w:val="af9"/>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맑은 고딕"/>
                <w:szCs w:val="21"/>
                <w:lang w:val="en-US" w:eastAsia="ko-KR"/>
              </w:rPr>
            </w:pPr>
            <w:r>
              <w:rPr>
                <w:rFonts w:eastAsia="맑은 고딕"/>
                <w:szCs w:val="21"/>
                <w:lang w:val="en-US" w:eastAsia="ko-KR"/>
              </w:rPr>
              <w:t>Intel</w:t>
            </w:r>
          </w:p>
        </w:tc>
        <w:tc>
          <w:tcPr>
            <w:tcW w:w="4494" w:type="pct"/>
          </w:tcPr>
          <w:p w14:paraId="4AA4407F" w14:textId="6695F761" w:rsidR="001F7736" w:rsidRDefault="004353F7" w:rsidP="005217E3">
            <w:pPr>
              <w:rPr>
                <w:rFonts w:eastAsia="맑은 고딕"/>
                <w:szCs w:val="21"/>
                <w:lang w:val="en-US" w:eastAsia="ko-KR"/>
              </w:rPr>
            </w:pPr>
            <w:r>
              <w:rPr>
                <w:rFonts w:eastAsia="맑은 고딕"/>
                <w:szCs w:val="21"/>
                <w:lang w:val="en-US" w:eastAsia="ko-KR"/>
              </w:rPr>
              <w:t>Alt. 1</w:t>
            </w:r>
            <w:r w:rsidR="007A0C59">
              <w:rPr>
                <w:rFonts w:eastAsia="맑은 고딕"/>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19308737" w14:textId="515D8EC0" w:rsidR="004633FD" w:rsidRPr="004633FD" w:rsidRDefault="004633FD" w:rsidP="004633FD">
            <w:pPr>
              <w:rPr>
                <w:rFonts w:eastAsia="맑은 고딕"/>
                <w:szCs w:val="21"/>
                <w:lang w:eastAsia="ko-KR"/>
              </w:rPr>
            </w:pPr>
            <w:r>
              <w:rPr>
                <w:rFonts w:eastAsia="맑은 고딕" w:hint="eastAsia"/>
                <w:szCs w:val="21"/>
                <w:lang w:eastAsia="ko-KR"/>
              </w:rPr>
              <w:t xml:space="preserve">Alt.1. </w:t>
            </w:r>
            <w:r>
              <w:rPr>
                <w:rFonts w:eastAsia="맑은 고딕"/>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맑은 고딕"/>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afd"/>
              <w:numPr>
                <w:ilvl w:val="0"/>
                <w:numId w:val="38"/>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afd"/>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pPr>
              <w:pStyle w:val="afd"/>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HW/HiSi</w:t>
            </w:r>
          </w:p>
          <w:p w14:paraId="2CF990BC" w14:textId="77777777" w:rsidR="002C1D48" w:rsidRDefault="002C1D48">
            <w:pPr>
              <w:pStyle w:val="afd"/>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d"/>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맑은 고딕"/>
                <w:szCs w:val="21"/>
                <w:lang w:val="en-US" w:eastAsia="ko-KR"/>
              </w:rPr>
            </w:pPr>
            <w:r>
              <w:rPr>
                <w:rFonts w:eastAsia="맑은 고딕" w:hint="eastAsia"/>
                <w:szCs w:val="21"/>
                <w:lang w:val="en-US" w:eastAsia="ko-KR"/>
              </w:rPr>
              <w:t>Samsung</w:t>
            </w:r>
          </w:p>
        </w:tc>
        <w:tc>
          <w:tcPr>
            <w:tcW w:w="4494" w:type="pct"/>
          </w:tcPr>
          <w:p w14:paraId="65D40411" w14:textId="7ED03E4C" w:rsidR="002606DA" w:rsidRPr="002606DA" w:rsidRDefault="00AA5CA0" w:rsidP="00AA5CA0">
            <w:pPr>
              <w:rPr>
                <w:rFonts w:eastAsia="맑은 고딕"/>
                <w:szCs w:val="21"/>
                <w:lang w:val="en-US" w:eastAsia="ko-KR"/>
              </w:rPr>
            </w:pPr>
            <w:r>
              <w:rPr>
                <w:rFonts w:eastAsia="맑은 고딕"/>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맑은 고딕"/>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01BEE73" w14:textId="696D55D9" w:rsidR="00EE5E33" w:rsidRDefault="00EE5E33" w:rsidP="00EE5E33">
            <w:pPr>
              <w:rPr>
                <w:rFonts w:eastAsia="맑은 고딕"/>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I’d like to ask companies’ views on whether we can make a decision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afd"/>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afd"/>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720186DE" w14:textId="7AC87A4B" w:rsidR="00CE4D96" w:rsidRPr="00CE4D96" w:rsidRDefault="00CE4D96" w:rsidP="00CE4D96">
            <w:pPr>
              <w:rPr>
                <w:rFonts w:eastAsia="맑은 고딕" w:hint="eastAsia"/>
                <w:szCs w:val="21"/>
                <w:lang w:val="en-US" w:eastAsia="ko-KR"/>
              </w:rPr>
            </w:pPr>
            <w:r>
              <w:rPr>
                <w:rFonts w:eastAsia="맑은 고딕" w:hint="eastAsia"/>
                <w:szCs w:val="21"/>
                <w:lang w:val="en-US" w:eastAsia="ko-KR"/>
              </w:rPr>
              <w:t>Sup</w:t>
            </w:r>
            <w:r>
              <w:rPr>
                <w:rFonts w:eastAsia="맑은 고딕"/>
                <w:szCs w:val="21"/>
                <w:lang w:val="en-US" w:eastAsia="ko-KR"/>
              </w:rPr>
              <w:t>p</w:t>
            </w:r>
            <w:r>
              <w:rPr>
                <w:rFonts w:eastAsia="맑은 고딕" w:hint="eastAsia"/>
                <w:szCs w:val="21"/>
                <w:lang w:val="en-US" w:eastAsia="ko-KR"/>
              </w:rPr>
              <w:t>ort</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맑은 고딕"/>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lastRenderedPageBreak/>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d"/>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d"/>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d"/>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맑은 고딕"/>
                <w:szCs w:val="21"/>
                <w:lang w:val="en-US" w:eastAsia="ko-KR"/>
              </w:rPr>
            </w:pPr>
            <w:r>
              <w:rPr>
                <w:rFonts w:eastAsia="맑은 고딕" w:hint="eastAsia"/>
                <w:szCs w:val="21"/>
                <w:lang w:val="en-US" w:eastAsia="ko-KR"/>
              </w:rPr>
              <w:t>Samsung</w:t>
            </w:r>
          </w:p>
        </w:tc>
        <w:tc>
          <w:tcPr>
            <w:tcW w:w="4494" w:type="pct"/>
          </w:tcPr>
          <w:p w14:paraId="3E3069EB" w14:textId="030B76F9" w:rsidR="002606DA" w:rsidRPr="002606DA" w:rsidRDefault="002606DA" w:rsidP="005C7782">
            <w:pPr>
              <w:rPr>
                <w:rFonts w:eastAsia="맑은 고딕"/>
                <w:szCs w:val="21"/>
                <w:lang w:val="en-US" w:eastAsia="ko-KR"/>
              </w:rPr>
            </w:pPr>
            <w:r>
              <w:rPr>
                <w:rFonts w:eastAsia="맑은 고딕" w:hint="eastAsia"/>
                <w:szCs w:val="21"/>
                <w:lang w:val="en-US" w:eastAsia="ko-KR"/>
              </w:rPr>
              <w:t>Alt.</w:t>
            </w:r>
            <w:r>
              <w:rPr>
                <w:rFonts w:eastAsia="맑은 고딕"/>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맑은 고딕"/>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맑은 고딕"/>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I’d like to ask companies’ views on whether we can make a decision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afd"/>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afd"/>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4FB959D3" w14:textId="741AC096" w:rsidR="00CE4D96" w:rsidRPr="00CE4D96" w:rsidRDefault="00CE4D96" w:rsidP="00952113">
            <w:pPr>
              <w:rPr>
                <w:rFonts w:eastAsia="맑은 고딕" w:hint="eastAsia"/>
                <w:szCs w:val="21"/>
                <w:lang w:val="en-US" w:eastAsia="ko-KR"/>
              </w:rPr>
            </w:pPr>
            <w:r>
              <w:rPr>
                <w:rFonts w:eastAsia="맑은 고딕" w:hint="eastAsia"/>
                <w:szCs w:val="21"/>
                <w:lang w:val="en-US" w:eastAsia="ko-KR"/>
              </w:rPr>
              <w:t>Support</w:t>
            </w:r>
          </w:p>
        </w:tc>
      </w:tr>
    </w:tbl>
    <w:p w14:paraId="142FDBF5" w14:textId="77777777" w:rsidR="001F7736" w:rsidRPr="004C5B36"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d"/>
        <w:numPr>
          <w:ilvl w:val="1"/>
          <w:numId w:val="9"/>
        </w:numPr>
        <w:spacing w:afterLines="50" w:after="120" w:line="259" w:lineRule="auto"/>
        <w:ind w:leftChars="0"/>
        <w:jc w:val="both"/>
        <w:rPr>
          <w:b/>
          <w:bCs/>
          <w:szCs w:val="24"/>
        </w:rPr>
      </w:pPr>
      <w:r>
        <w:rPr>
          <w:b/>
          <w:bCs/>
          <w:szCs w:val="24"/>
        </w:rPr>
        <w:lastRenderedPageBreak/>
        <w:t>Alt.1: Per UE [3,8]</w:t>
      </w:r>
    </w:p>
    <w:p w14:paraId="236F9E9F" w14:textId="07111D25"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맑은 고딕"/>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맑은 고딕"/>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lastRenderedPageBreak/>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맑은 고딕"/>
                <w:szCs w:val="21"/>
                <w:lang w:val="en-US" w:eastAsia="ko-KR"/>
              </w:rPr>
            </w:pPr>
            <w:r>
              <w:rPr>
                <w:rFonts w:eastAsia="맑은 고딕"/>
                <w:szCs w:val="21"/>
                <w:lang w:val="en-US" w:eastAsia="ko-KR"/>
              </w:rPr>
              <w:t>Intel</w:t>
            </w:r>
          </w:p>
        </w:tc>
        <w:tc>
          <w:tcPr>
            <w:tcW w:w="4494" w:type="pct"/>
          </w:tcPr>
          <w:p w14:paraId="181D82C3" w14:textId="70C49597" w:rsidR="001E1E15" w:rsidRDefault="001E1E15" w:rsidP="001E1E15">
            <w:pPr>
              <w:rPr>
                <w:rFonts w:eastAsia="맑은 고딕"/>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MS Mincho"/>
          <w:b/>
          <w:bCs/>
          <w:szCs w:val="24"/>
          <w:lang w:val="en-US"/>
        </w:rPr>
      </w:pPr>
      <w:r>
        <w:rPr>
          <w:rFonts w:eastAsia="MS Mincho"/>
          <w:b/>
          <w:bCs/>
          <w:szCs w:val="24"/>
          <w:lang w:val="en-US"/>
        </w:rPr>
        <w:lastRenderedPageBreak/>
        <w:t>Conclusions</w:t>
      </w:r>
      <w:bookmarkStart w:id="15" w:name="_GoBack"/>
      <w:bookmarkEnd w:id="15"/>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pPr>
        <w:pStyle w:val="afd"/>
        <w:numPr>
          <w:ilvl w:val="0"/>
          <w:numId w:val="13"/>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UE features for Coverage Enhacement</w:t>
      </w:r>
      <w:r w:rsidRPr="001F7736">
        <w:rPr>
          <w:rFonts w:eastAsia="MS Mincho"/>
          <w:sz w:val="22"/>
          <w:lang w:val="en-US"/>
        </w:rPr>
        <w:tab/>
        <w:t>Samsung</w:t>
      </w:r>
    </w:p>
    <w:p w14:paraId="29F0E64B"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pPr>
        <w:pStyle w:val="afd"/>
        <w:numPr>
          <w:ilvl w:val="0"/>
          <w:numId w:val="13"/>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EDB6" w14:textId="77777777" w:rsidR="004B181F" w:rsidRDefault="004B181F">
      <w:r>
        <w:separator/>
      </w:r>
    </w:p>
  </w:endnote>
  <w:endnote w:type="continuationSeparator" w:id="0">
    <w:p w14:paraId="435F2228" w14:textId="77777777" w:rsidR="004B181F" w:rsidRDefault="004B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A8AE" w14:textId="7C0ACAA5" w:rsidR="00952113" w:rsidRDefault="00952113">
    <w:pPr>
      <w:pStyle w:val="ae"/>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CE4D96">
      <w:rPr>
        <w:rStyle w:val="af7"/>
        <w:rFonts w:eastAsia="MS Gothic"/>
        <w:noProof/>
      </w:rPr>
      <w:t>25</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CE4D96">
      <w:rPr>
        <w:rStyle w:val="af7"/>
        <w:rFonts w:eastAsia="MS Gothic"/>
        <w:noProof/>
      </w:rPr>
      <w:t>25</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0AAB4" w14:textId="77777777" w:rsidR="004B181F" w:rsidRDefault="004B181F">
      <w:r>
        <w:separator/>
      </w:r>
    </w:p>
  </w:footnote>
  <w:footnote w:type="continuationSeparator" w:id="0">
    <w:p w14:paraId="0DF72748" w14:textId="77777777" w:rsidR="004B181F" w:rsidRDefault="004B1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맑은 고딕"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12"/>
  </w:num>
  <w:num w:numId="3">
    <w:abstractNumId w:val="30"/>
  </w:num>
  <w:num w:numId="4">
    <w:abstractNumId w:val="37"/>
  </w:num>
  <w:num w:numId="5">
    <w:abstractNumId w:val="9"/>
  </w:num>
  <w:num w:numId="6">
    <w:abstractNumId w:val="21"/>
  </w:num>
  <w:num w:numId="7">
    <w:abstractNumId w:val="16"/>
  </w:num>
  <w:num w:numId="8">
    <w:abstractNumId w:val="24"/>
  </w:num>
  <w:num w:numId="9">
    <w:abstractNumId w:val="33"/>
  </w:num>
  <w:num w:numId="10">
    <w:abstractNumId w:val="38"/>
  </w:num>
  <w:num w:numId="11">
    <w:abstractNumId w:val="34"/>
  </w:num>
  <w:num w:numId="12">
    <w:abstractNumId w:val="29"/>
  </w:num>
  <w:num w:numId="13">
    <w:abstractNumId w:val="4"/>
  </w:num>
  <w:num w:numId="14">
    <w:abstractNumId w:val="1"/>
  </w:num>
  <w:num w:numId="15">
    <w:abstractNumId w:val="20"/>
  </w:num>
  <w:num w:numId="16">
    <w:abstractNumId w:val="0"/>
  </w:num>
  <w:num w:numId="17">
    <w:abstractNumId w:val="22"/>
  </w:num>
  <w:num w:numId="18">
    <w:abstractNumId w:val="18"/>
  </w:num>
  <w:num w:numId="19">
    <w:abstractNumId w:val="14"/>
  </w:num>
  <w:num w:numId="20">
    <w:abstractNumId w:val="35"/>
  </w:num>
  <w:num w:numId="21">
    <w:abstractNumId w:val="7"/>
  </w:num>
  <w:num w:numId="22">
    <w:abstractNumId w:val="17"/>
  </w:num>
  <w:num w:numId="23">
    <w:abstractNumId w:val="27"/>
  </w:num>
  <w:num w:numId="24">
    <w:abstractNumId w:val="2"/>
  </w:num>
  <w:num w:numId="25">
    <w:abstractNumId w:val="31"/>
  </w:num>
  <w:num w:numId="26">
    <w:abstractNumId w:val="32"/>
  </w:num>
  <w:num w:numId="27">
    <w:abstractNumId w:val="19"/>
  </w:num>
  <w:num w:numId="28">
    <w:abstractNumId w:val="6"/>
  </w:num>
  <w:num w:numId="29">
    <w:abstractNumId w:val="28"/>
  </w:num>
  <w:num w:numId="30">
    <w:abstractNumId w:val="23"/>
  </w:num>
  <w:num w:numId="31">
    <w:abstractNumId w:val="3"/>
  </w:num>
  <w:num w:numId="32">
    <w:abstractNumId w:val="10"/>
  </w:num>
  <w:num w:numId="33">
    <w:abstractNumId w:val="15"/>
  </w:num>
  <w:num w:numId="34">
    <w:abstractNumId w:val="11"/>
  </w:num>
  <w:num w:numId="35">
    <w:abstractNumId w:val="26"/>
  </w:num>
  <w:num w:numId="36">
    <w:abstractNumId w:val="25"/>
  </w:num>
  <w:num w:numId="37">
    <w:abstractNumId w:val="36"/>
  </w:num>
  <w:num w:numId="38">
    <w:abstractNumId w:val="8"/>
  </w:num>
  <w:num w:numId="39">
    <w:abstractNumId w:val="13"/>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5B36"/>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0">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aliases w:val="cap"/>
    <w:basedOn w:val="a0"/>
    <w:next w:val="a0"/>
    <w:qFormat/>
    <w:pPr>
      <w:spacing w:before="120" w:after="120"/>
    </w:pPr>
    <w:rPr>
      <w:b/>
    </w:rPr>
  </w:style>
  <w:style w:type="paragraph" w:styleId="a8">
    <w:name w:val="Closing"/>
    <w:basedOn w:val="a0"/>
    <w:link w:val="Char0"/>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1"/>
    <w:qFormat/>
    <w:rPr>
      <w:sz w:val="20"/>
    </w:rPr>
  </w:style>
  <w:style w:type="paragraph" w:styleId="ab">
    <w:name w:val="annotation subject"/>
    <w:basedOn w:val="aa"/>
    <w:next w:val="aa"/>
    <w:link w:val="Char2"/>
    <w:qFormat/>
    <w:rPr>
      <w:b/>
      <w:sz w:val="24"/>
    </w:rPr>
  </w:style>
  <w:style w:type="paragraph" w:styleId="ac">
    <w:name w:val="Document Map"/>
    <w:basedOn w:val="a0"/>
    <w:semiHidden/>
    <w:qFormat/>
    <w:pPr>
      <w:shd w:val="clear" w:color="auto" w:fill="000080"/>
    </w:pPr>
    <w:rPr>
      <w:rFonts w:ascii="Tahoma" w:hAnsi="Tahoma"/>
    </w:rPr>
  </w:style>
  <w:style w:type="character" w:styleId="ad">
    <w:name w:val="FollowedHyperlink"/>
    <w:qFormat/>
    <w:rPr>
      <w:rFonts w:eastAsia="Times New Roman"/>
      <w:color w:val="800080"/>
      <w:kern w:val="2"/>
      <w:sz w:val="21"/>
      <w:u w:val="single"/>
      <w:lang w:val="en-GB"/>
    </w:rPr>
  </w:style>
  <w:style w:type="paragraph" w:styleId="ae">
    <w:name w:val="footer"/>
    <w:basedOn w:val="a0"/>
    <w:qFormat/>
    <w:pPr>
      <w:tabs>
        <w:tab w:val="center" w:pos="4536"/>
        <w:tab w:val="right" w:pos="9072"/>
      </w:tabs>
      <w:spacing w:before="120"/>
    </w:pPr>
    <w:rPr>
      <w:lang w:val="de-DE"/>
    </w:rPr>
  </w:style>
  <w:style w:type="character" w:styleId="af">
    <w:name w:val="footnote reference"/>
    <w:semiHidden/>
    <w:qFormat/>
    <w:rPr>
      <w:rFonts w:eastAsia="Times New Roman"/>
      <w:b/>
      <w:kern w:val="2"/>
      <w:position w:val="6"/>
      <w:sz w:val="16"/>
      <w:lang w:val="en-GB"/>
    </w:rPr>
  </w:style>
  <w:style w:type="paragraph" w:styleId="af0">
    <w:name w:val="footnote text"/>
    <w:basedOn w:val="a0"/>
    <w:semiHidden/>
    <w:qFormat/>
    <w:pPr>
      <w:keepLines/>
      <w:ind w:left="454" w:hanging="454"/>
    </w:pPr>
    <w:rPr>
      <w:sz w:val="16"/>
    </w:rPr>
  </w:style>
  <w:style w:type="paragraph" w:styleId="af1">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Char3"/>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2">
    <w:name w:val="Hyperlink"/>
    <w:qFormat/>
    <w:rPr>
      <w:rFonts w:eastAsia="Times New Roman"/>
      <w:color w:val="0000FF"/>
      <w:kern w:val="2"/>
      <w:sz w:val="21"/>
      <w:u w:val="single"/>
      <w:lang w:val="en-GB"/>
    </w:rPr>
  </w:style>
  <w:style w:type="paragraph" w:styleId="af3">
    <w:name w:val="List"/>
    <w:basedOn w:val="a0"/>
    <w:qFormat/>
    <w:pPr>
      <w:spacing w:after="180"/>
      <w:ind w:left="568" w:hanging="284"/>
    </w:pPr>
  </w:style>
  <w:style w:type="paragraph" w:styleId="21">
    <w:name w:val="List 2"/>
    <w:basedOn w:val="af3"/>
    <w:qFormat/>
    <w:pPr>
      <w:ind w:left="851"/>
    </w:pPr>
  </w:style>
  <w:style w:type="paragraph" w:styleId="32">
    <w:name w:val="List 3"/>
    <w:basedOn w:val="a0"/>
    <w:qFormat/>
    <w:pPr>
      <w:ind w:leftChars="400" w:left="100" w:hangingChars="200" w:hanging="200"/>
    </w:pPr>
  </w:style>
  <w:style w:type="paragraph" w:styleId="af4">
    <w:name w:val="List Bullet"/>
    <w:basedOn w:val="a0"/>
    <w:qFormat/>
    <w:pPr>
      <w:tabs>
        <w:tab w:val="left" w:pos="360"/>
      </w:tabs>
      <w:ind w:left="360" w:hanging="360"/>
    </w:pPr>
  </w:style>
  <w:style w:type="paragraph" w:styleId="22">
    <w:name w:val="List Bullet 2"/>
    <w:basedOn w:val="af4"/>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6">
    <w:name w:val="Note Heading"/>
    <w:basedOn w:val="a0"/>
    <w:next w:val="a0"/>
    <w:link w:val="Char4"/>
    <w:qFormat/>
    <w:pPr>
      <w:jc w:val="center"/>
    </w:pPr>
    <w:rPr>
      <w:b/>
      <w:color w:val="FF0000"/>
      <w:szCs w:val="21"/>
      <w:lang w:val="en-US"/>
    </w:rPr>
  </w:style>
  <w:style w:type="character" w:styleId="af7">
    <w:name w:val="page number"/>
    <w:qFormat/>
    <w:rPr>
      <w:rFonts w:eastAsia="Times New Roman"/>
      <w:kern w:val="2"/>
      <w:sz w:val="21"/>
      <w:lang w:val="en-GB"/>
    </w:rPr>
  </w:style>
  <w:style w:type="paragraph" w:styleId="af8">
    <w:name w:val="Plain Text"/>
    <w:basedOn w:val="a0"/>
    <w:qFormat/>
    <w:rPr>
      <w:rFonts w:ascii="Courier New" w:hAnsi="Courier New"/>
    </w:rPr>
  </w:style>
  <w:style w:type="table" w:styleId="af9">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0"/>
    <w:next w:val="a0"/>
    <w:semiHidden/>
    <w:qFormat/>
    <w:pPr>
      <w:tabs>
        <w:tab w:val="right" w:leader="dot" w:pos="9360"/>
      </w:tabs>
      <w:spacing w:before="120" w:after="120"/>
    </w:pPr>
    <w:rPr>
      <w:caps/>
    </w:rPr>
  </w:style>
  <w:style w:type="paragraph" w:styleId="10">
    <w:name w:val="toc 1"/>
    <w:basedOn w:val="a0"/>
    <w:next w:val="a0"/>
    <w:uiPriority w:val="39"/>
    <w:qFormat/>
  </w:style>
  <w:style w:type="paragraph" w:styleId="afb">
    <w:name w:val="Title"/>
    <w:basedOn w:val="a0"/>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3">
    <w:name w:val="머리글 Char"/>
    <w:aliases w:val="header odd Char,header odd1 Char,header odd2 Char,header odd3 Char,header odd4 Char,header odd5 Char,header odd6 Char,header Char,header1 Char,header2 Char,header3 Char,header odd11 Char,header odd21 Char,header odd7 Char,header4 Char,h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4"/>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
    <w:name w:val="풍선 도움말 텍스트 Char"/>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1">
    <w:name w:val="메모 텍스트 Char"/>
    <w:basedOn w:val="a1"/>
    <w:link w:val="aa"/>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2">
    <w:name w:val="메모 주제 Char"/>
    <w:basedOn w:val="Char1"/>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リ ス ト 段 落"/>
    <w:basedOn w:val="a0"/>
    <w:link w:val="Char5"/>
    <w:uiPriority w:val="34"/>
    <w:qFormat/>
    <w:pPr>
      <w:ind w:leftChars="400" w:left="840"/>
    </w:p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4">
    <w:name w:val="각주/미주 머리글 Char"/>
    <w:basedOn w:val="a1"/>
    <w:link w:val="af6"/>
    <w:qFormat/>
    <w:rPr>
      <w:rFonts w:ascii="Times New Roman" w:eastAsia="MS Gothic" w:hAnsi="Times New Roman"/>
      <w:b/>
      <w:color w:val="FF0000"/>
      <w:sz w:val="24"/>
      <w:szCs w:val="21"/>
    </w:rPr>
  </w:style>
  <w:style w:type="character" w:customStyle="1" w:styleId="Char0">
    <w:name w:val="맺음말 Char"/>
    <w:basedOn w:val="a1"/>
    <w:link w:val="a8"/>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7"/>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바탕"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Char">
    <w:name w:val="제목 3 Char"/>
    <w:basedOn w:val="a1"/>
    <w:link w:val="30"/>
    <w:rsid w:val="00EE1C17"/>
    <w:rPr>
      <w:rFonts w:ascii="Arial" w:eastAsia="MS Gothic"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12"/>
      </w:numPr>
    </w:pPr>
    <w:rPr>
      <w:rFonts w:eastAsia="Times New Roman"/>
      <w:kern w:val="2"/>
      <w:sz w:val="20"/>
      <w:szCs w:val="24"/>
    </w:rPr>
  </w:style>
  <w:style w:type="paragraph" w:customStyle="1" w:styleId="bullet2">
    <w:name w:val="bullet2"/>
    <w:basedOn w:val="a0"/>
    <w:qFormat/>
    <w:rsid w:val="00C04810"/>
    <w:pPr>
      <w:numPr>
        <w:ilvl w:val="1"/>
        <w:numId w:val="12"/>
      </w:numPr>
    </w:pPr>
    <w:rPr>
      <w:rFonts w:ascii="Times" w:eastAsia="SimSun" w:hAnsi="Times"/>
      <w:kern w:val="2"/>
      <w:szCs w:val="24"/>
      <w:lang w:eastAsia="zh-CN"/>
    </w:rPr>
  </w:style>
  <w:style w:type="paragraph" w:customStyle="1" w:styleId="bullet3">
    <w:name w:val="bullet3"/>
    <w:basedOn w:val="a0"/>
    <w:qFormat/>
    <w:rsid w:val="00C04810"/>
    <w:pPr>
      <w:numPr>
        <w:ilvl w:val="2"/>
        <w:numId w:val="12"/>
      </w:numPr>
    </w:pPr>
    <w:rPr>
      <w:rFonts w:ascii="Times" w:eastAsia="바탕" w:hAnsi="Times"/>
      <w:sz w:val="20"/>
      <w:szCs w:val="24"/>
      <w:lang w:eastAsia="en-US"/>
    </w:rPr>
  </w:style>
  <w:style w:type="paragraph" w:customStyle="1" w:styleId="bullet4">
    <w:name w:val="bullet4"/>
    <w:basedOn w:val="a0"/>
    <w:qFormat/>
    <w:rsid w:val="00C04810"/>
    <w:pPr>
      <w:numPr>
        <w:ilvl w:val="3"/>
        <w:numId w:val="12"/>
      </w:numPr>
    </w:pPr>
    <w:rPr>
      <w:rFonts w:ascii="Times" w:eastAsia="바탕"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 w:type="character" w:customStyle="1" w:styleId="aff">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a1"/>
    <w:uiPriority w:val="34"/>
    <w:locked/>
    <w:rsid w:val="00524C15"/>
    <w:rPr>
      <w:rFonts w:ascii="MS Gothic" w:eastAsia="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E343463-8387-450D-8C25-4C046E97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9975</Words>
  <Characters>56861</Characters>
  <Application>Microsoft Office Word</Application>
  <DocSecurity>0</DocSecurity>
  <Lines>473</Lines>
  <Paragraphs>133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Youngbum Kim</cp:lastModifiedBy>
  <cp:revision>2</cp:revision>
  <cp:lastPrinted>2017-08-08T16:40:00Z</cp:lastPrinted>
  <dcterms:created xsi:type="dcterms:W3CDTF">2022-10-14T15:30:00Z</dcterms:created>
  <dcterms:modified xsi:type="dcterms:W3CDTF">2022-10-14T15:30:00Z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