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4441FC" w:rsidRPr="004A7F25" w14:paraId="69F921A7" w14:textId="77777777" w:rsidTr="005217E3">
        <w:tc>
          <w:tcPr>
            <w:tcW w:w="506" w:type="pct"/>
          </w:tcPr>
          <w:p w14:paraId="16B423B9" w14:textId="0A915B32" w:rsidR="004441FC" w:rsidRDefault="004441FC" w:rsidP="007F6C82">
            <w:pPr>
              <w:jc w:val="both"/>
              <w:rPr>
                <w:rFonts w:eastAsiaTheme="minorEastAsia" w:hint="eastAsia"/>
                <w:szCs w:val="21"/>
                <w:lang w:val="en-US"/>
              </w:rPr>
            </w:pPr>
          </w:p>
        </w:tc>
        <w:tc>
          <w:tcPr>
            <w:tcW w:w="4494" w:type="pct"/>
          </w:tcPr>
          <w:p w14:paraId="17CB3691" w14:textId="0B20F631" w:rsidR="004441FC" w:rsidRDefault="004441FC" w:rsidP="007F6C82">
            <w:pPr>
              <w:rPr>
                <w:rFonts w:eastAsiaTheme="minorEastAsia" w:hint="eastAsia"/>
                <w:szCs w:val="21"/>
                <w:lang w:val="en-US"/>
              </w:rPr>
            </w:pP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lastRenderedPageBreak/>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 xml:space="preserve">after the events that violate power consistency </w:t>
                  </w:r>
                  <w:r w:rsidRPr="00444DA2">
                    <w:rPr>
                      <w:rFonts w:ascii="Arial" w:eastAsia="SimSun" w:hAnsi="Arial" w:cs="Arial"/>
                      <w:strike/>
                      <w:color w:val="FF0000"/>
                      <w:sz w:val="18"/>
                      <w:szCs w:val="18"/>
                      <w:lang w:eastAsia="zh-CN"/>
                    </w:rPr>
                    <w:lastRenderedPageBreak/>
                    <w:t>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lastRenderedPageBreak/>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lastRenderedPageBreak/>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rsidP="00B227A1">
            <w:pPr>
              <w:pStyle w:val="ListParagraph"/>
              <w:numPr>
                <w:ilvl w:val="0"/>
                <w:numId w:val="2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rsidP="00B227A1">
            <w:pPr>
              <w:pStyle w:val="ListParagraph"/>
              <w:numPr>
                <w:ilvl w:val="1"/>
                <w:numId w:val="2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723C35" w:rsidRPr="004A7F25" w14:paraId="73A891DB" w14:textId="77777777" w:rsidTr="005217E3">
        <w:tc>
          <w:tcPr>
            <w:tcW w:w="506" w:type="pct"/>
          </w:tcPr>
          <w:p w14:paraId="2283BB0B" w14:textId="277ADDF4" w:rsidR="00723C35" w:rsidRDefault="00723C35" w:rsidP="00EE5E33">
            <w:pPr>
              <w:jc w:val="both"/>
              <w:rPr>
                <w:rFonts w:eastAsiaTheme="minorEastAsia"/>
                <w:szCs w:val="21"/>
              </w:rPr>
            </w:pPr>
            <w:r>
              <w:rPr>
                <w:rFonts w:eastAsiaTheme="minorEastAsia"/>
                <w:szCs w:val="21"/>
              </w:rPr>
              <w:t>Apple</w:t>
            </w:r>
          </w:p>
        </w:tc>
        <w:tc>
          <w:tcPr>
            <w:tcW w:w="4494" w:type="pct"/>
          </w:tcPr>
          <w:p w14:paraId="32AB60AD" w14:textId="3A0C5350" w:rsidR="00723C35" w:rsidRPr="00E073D2" w:rsidRDefault="00723C35" w:rsidP="00EE5E33">
            <w:pPr>
              <w:rPr>
                <w:rFonts w:ascii="Calibri" w:eastAsia="Times New Roman" w:hAnsi="Calibri"/>
                <w:bCs/>
                <w:sz w:val="22"/>
                <w:szCs w:val="22"/>
              </w:rPr>
            </w:pPr>
            <w:r>
              <w:rPr>
                <w:rFonts w:ascii="Calibri" w:eastAsia="Times New Roman" w:hAnsi="Calibri"/>
                <w:bCs/>
                <w:sz w:val="22"/>
                <w:szCs w:val="22"/>
              </w:rPr>
              <w:t xml:space="preserve">Ok with this proposal. </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lastRenderedPageBreak/>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rsidP="00B227A1">
            <w:pPr>
              <w:pStyle w:val="ListParagraph"/>
              <w:numPr>
                <w:ilvl w:val="0"/>
                <w:numId w:val="2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723C35" w:rsidRPr="004A7F25" w14:paraId="3686701F" w14:textId="77777777" w:rsidTr="005217E3">
        <w:tc>
          <w:tcPr>
            <w:tcW w:w="506" w:type="pct"/>
          </w:tcPr>
          <w:p w14:paraId="63234E38" w14:textId="2348EAEA" w:rsidR="00723C35" w:rsidRDefault="00723C35" w:rsidP="00572FA4">
            <w:pPr>
              <w:jc w:val="both"/>
              <w:rPr>
                <w:rFonts w:eastAsiaTheme="minorEastAsia"/>
                <w:szCs w:val="21"/>
              </w:rPr>
            </w:pPr>
            <w:r>
              <w:rPr>
                <w:rFonts w:eastAsiaTheme="minorEastAsia"/>
                <w:szCs w:val="21"/>
              </w:rPr>
              <w:t>Apple</w:t>
            </w:r>
          </w:p>
        </w:tc>
        <w:tc>
          <w:tcPr>
            <w:tcW w:w="4494" w:type="pct"/>
          </w:tcPr>
          <w:p w14:paraId="5C7CB05B" w14:textId="510D14BD" w:rsidR="00723C35" w:rsidRPr="00E073D2" w:rsidRDefault="00723C35" w:rsidP="00572FA4">
            <w:pPr>
              <w:rPr>
                <w:rFonts w:ascii="Calibri" w:eastAsia="Times New Roman" w:hAnsi="Calibri"/>
                <w:bCs/>
                <w:sz w:val="22"/>
                <w:szCs w:val="22"/>
              </w:rPr>
            </w:pPr>
            <w:r>
              <w:rPr>
                <w:rFonts w:ascii="Calibri" w:eastAsia="Times New Roman" w:hAnsi="Calibri"/>
                <w:bCs/>
                <w:sz w:val="22"/>
                <w:szCs w:val="22"/>
              </w:rPr>
              <w:t>Ok with this proposal.</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EE89317"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3344A180"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lastRenderedPageBreak/>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723C35" w:rsidRPr="002C1D48" w14:paraId="6FED9F52" w14:textId="77777777" w:rsidTr="005217E3">
        <w:tc>
          <w:tcPr>
            <w:tcW w:w="506" w:type="pct"/>
          </w:tcPr>
          <w:p w14:paraId="77C3E746" w14:textId="30E621AE" w:rsidR="00723C35" w:rsidRDefault="00723C35" w:rsidP="00EE5E33">
            <w:pPr>
              <w:jc w:val="both"/>
              <w:rPr>
                <w:rFonts w:eastAsiaTheme="minorEastAsia"/>
                <w:szCs w:val="21"/>
                <w:lang w:val="en-US"/>
              </w:rPr>
            </w:pPr>
            <w:r>
              <w:rPr>
                <w:rFonts w:eastAsiaTheme="minorEastAsia"/>
                <w:szCs w:val="21"/>
                <w:lang w:val="en-US"/>
              </w:rPr>
              <w:t>Apple</w:t>
            </w:r>
          </w:p>
        </w:tc>
        <w:tc>
          <w:tcPr>
            <w:tcW w:w="4494" w:type="pct"/>
          </w:tcPr>
          <w:p w14:paraId="4D033F96" w14:textId="385F0FED" w:rsidR="00723C35" w:rsidRDefault="00723C35" w:rsidP="00EE5E33">
            <w:pPr>
              <w:rPr>
                <w:rFonts w:eastAsiaTheme="minorEastAsia"/>
                <w:szCs w:val="21"/>
                <w:lang w:val="en-US"/>
              </w:rPr>
            </w:pPr>
            <w:r>
              <w:rPr>
                <w:rFonts w:eastAsiaTheme="minorEastAsia"/>
                <w:szCs w:val="21"/>
                <w:lang w:val="en-US"/>
              </w:rPr>
              <w:t>It was agreed in AI 8.8 that “Only one band can be configured with DMRS bundling at a time”.</w:t>
            </w:r>
          </w:p>
          <w:p w14:paraId="318C56E0" w14:textId="35306166" w:rsidR="00723C35" w:rsidRDefault="00DA2278" w:rsidP="00EE5E33">
            <w:pPr>
              <w:rPr>
                <w:rFonts w:eastAsiaTheme="minorEastAsia"/>
                <w:szCs w:val="21"/>
                <w:lang w:val="en-US"/>
              </w:rPr>
            </w:pPr>
            <w:r>
              <w:rPr>
                <w:rFonts w:eastAsiaTheme="minorEastAsia"/>
                <w:szCs w:val="21"/>
                <w:lang w:val="en-US"/>
              </w:rPr>
              <w:t>With this agreement</w:t>
            </w:r>
            <w:r w:rsidR="00723C35">
              <w:rPr>
                <w:rFonts w:eastAsiaTheme="minorEastAsia"/>
                <w:szCs w:val="21"/>
                <w:lang w:val="en-US"/>
              </w:rPr>
              <w:t>, Alt.1 is the way to go.</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lastRenderedPageBreak/>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DA2278" w14:paraId="7500D9CF" w14:textId="77777777" w:rsidTr="005217E3">
        <w:tc>
          <w:tcPr>
            <w:tcW w:w="506" w:type="pct"/>
          </w:tcPr>
          <w:p w14:paraId="7C22A0A5" w14:textId="72EA9942" w:rsidR="00DA2278" w:rsidRDefault="00DA2278" w:rsidP="00702922">
            <w:pPr>
              <w:jc w:val="both"/>
              <w:rPr>
                <w:rFonts w:eastAsiaTheme="minorEastAsia"/>
                <w:szCs w:val="21"/>
                <w:lang w:val="en-US"/>
              </w:rPr>
            </w:pPr>
            <w:r>
              <w:rPr>
                <w:rFonts w:eastAsiaTheme="minorEastAsia"/>
                <w:szCs w:val="21"/>
                <w:lang w:val="en-US"/>
              </w:rPr>
              <w:t>Apple</w:t>
            </w:r>
          </w:p>
        </w:tc>
        <w:tc>
          <w:tcPr>
            <w:tcW w:w="4494" w:type="pct"/>
          </w:tcPr>
          <w:p w14:paraId="5779C17E" w14:textId="59665F4C" w:rsidR="00DA2278" w:rsidRDefault="00DA2278" w:rsidP="00702922">
            <w:pPr>
              <w:rPr>
                <w:rFonts w:eastAsiaTheme="minorEastAsia"/>
                <w:szCs w:val="21"/>
                <w:lang w:val="en-US"/>
              </w:rPr>
            </w:pPr>
            <w:r>
              <w:rPr>
                <w:rFonts w:eastAsiaTheme="minorEastAsia"/>
                <w:szCs w:val="21"/>
                <w:lang w:val="en-US"/>
              </w:rPr>
              <w:t>According to the latest agreement in AI8.8.  Alt 2 is the way to go.</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hint="eastAsia"/>
                <w:szCs w:val="21"/>
                <w:lang w:val="en-US" w:eastAsia="zh-CN"/>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lastRenderedPageBreak/>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0864" w14:textId="77777777" w:rsidR="00F45A90" w:rsidRDefault="00F45A90">
      <w:r>
        <w:separator/>
      </w:r>
    </w:p>
  </w:endnote>
  <w:endnote w:type="continuationSeparator" w:id="0">
    <w:p w14:paraId="56D91AF1" w14:textId="77777777" w:rsidR="00F45A90" w:rsidRDefault="00F4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BE915DB" w:rsidR="00990776" w:rsidRDefault="0099077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AD79" w14:textId="77777777" w:rsidR="00F45A90" w:rsidRDefault="00F45A90">
      <w:r>
        <w:separator/>
      </w:r>
    </w:p>
  </w:footnote>
  <w:footnote w:type="continuationSeparator" w:id="0">
    <w:p w14:paraId="4D6C2354" w14:textId="77777777" w:rsidR="00F45A90" w:rsidRDefault="00F4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61829128">
    <w:abstractNumId w:val="8"/>
  </w:num>
  <w:num w:numId="2" w16cid:durableId="743332938">
    <w:abstractNumId w:val="15"/>
  </w:num>
  <w:num w:numId="3" w16cid:durableId="1571425862">
    <w:abstractNumId w:val="39"/>
  </w:num>
  <w:num w:numId="4" w16cid:durableId="2113815455">
    <w:abstractNumId w:val="47"/>
  </w:num>
  <w:num w:numId="5" w16cid:durableId="320162478">
    <w:abstractNumId w:val="12"/>
  </w:num>
  <w:num w:numId="6" w16cid:durableId="1941327493">
    <w:abstractNumId w:val="27"/>
  </w:num>
  <w:num w:numId="7" w16cid:durableId="1624997458">
    <w:abstractNumId w:val="18"/>
  </w:num>
  <w:num w:numId="8" w16cid:durableId="991642996">
    <w:abstractNumId w:val="31"/>
  </w:num>
  <w:num w:numId="9" w16cid:durableId="750201501">
    <w:abstractNumId w:val="43"/>
  </w:num>
  <w:num w:numId="10" w16cid:durableId="492919035">
    <w:abstractNumId w:val="48"/>
  </w:num>
  <w:num w:numId="11" w16cid:durableId="1198733260">
    <w:abstractNumId w:val="44"/>
  </w:num>
  <w:num w:numId="12" w16cid:durableId="1943687061">
    <w:abstractNumId w:val="5"/>
  </w:num>
  <w:num w:numId="13" w16cid:durableId="1275330773">
    <w:abstractNumId w:val="25"/>
  </w:num>
  <w:num w:numId="14" w16cid:durableId="1940333797">
    <w:abstractNumId w:val="21"/>
  </w:num>
  <w:num w:numId="15" w16cid:durableId="1137725288">
    <w:abstractNumId w:val="0"/>
  </w:num>
  <w:num w:numId="16" w16cid:durableId="678971221">
    <w:abstractNumId w:val="3"/>
  </w:num>
  <w:num w:numId="17" w16cid:durableId="1760131379">
    <w:abstractNumId w:val="38"/>
  </w:num>
  <w:num w:numId="18" w16cid:durableId="1464272657">
    <w:abstractNumId w:val="26"/>
  </w:num>
  <w:num w:numId="19" w16cid:durableId="316763989">
    <w:abstractNumId w:val="20"/>
  </w:num>
  <w:num w:numId="20" w16cid:durableId="1148938059">
    <w:abstractNumId w:val="37"/>
  </w:num>
  <w:num w:numId="21" w16cid:durableId="324281579">
    <w:abstractNumId w:val="30"/>
  </w:num>
  <w:num w:numId="22" w16cid:durableId="182936915">
    <w:abstractNumId w:val="7"/>
  </w:num>
  <w:num w:numId="23" w16cid:durableId="101650849">
    <w:abstractNumId w:val="2"/>
  </w:num>
  <w:num w:numId="24" w16cid:durableId="44303437">
    <w:abstractNumId w:val="42"/>
  </w:num>
  <w:num w:numId="25" w16cid:durableId="186409939">
    <w:abstractNumId w:val="24"/>
  </w:num>
  <w:num w:numId="26" w16cid:durableId="1054350827">
    <w:abstractNumId w:val="1"/>
  </w:num>
  <w:num w:numId="27" w16cid:durableId="303630935">
    <w:abstractNumId w:val="28"/>
  </w:num>
  <w:num w:numId="28" w16cid:durableId="1305041835">
    <w:abstractNumId w:val="22"/>
  </w:num>
  <w:num w:numId="29" w16cid:durableId="2032366536">
    <w:abstractNumId w:val="16"/>
  </w:num>
  <w:num w:numId="30" w16cid:durableId="832573116">
    <w:abstractNumId w:val="36"/>
  </w:num>
  <w:num w:numId="31" w16cid:durableId="483620197">
    <w:abstractNumId w:val="45"/>
  </w:num>
  <w:num w:numId="32" w16cid:durableId="572816794">
    <w:abstractNumId w:val="10"/>
  </w:num>
  <w:num w:numId="33" w16cid:durableId="948050071">
    <w:abstractNumId w:val="19"/>
  </w:num>
  <w:num w:numId="34" w16cid:durableId="1997687587">
    <w:abstractNumId w:val="34"/>
  </w:num>
  <w:num w:numId="35" w16cid:durableId="1382440430">
    <w:abstractNumId w:val="4"/>
  </w:num>
  <w:num w:numId="36" w16cid:durableId="1251086508">
    <w:abstractNumId w:val="40"/>
  </w:num>
  <w:num w:numId="37" w16cid:durableId="1264071851">
    <w:abstractNumId w:val="41"/>
  </w:num>
  <w:num w:numId="38" w16cid:durableId="627856390">
    <w:abstractNumId w:val="23"/>
  </w:num>
  <w:num w:numId="39" w16cid:durableId="1267008668">
    <w:abstractNumId w:val="9"/>
  </w:num>
  <w:num w:numId="40" w16cid:durableId="1807774603">
    <w:abstractNumId w:val="35"/>
  </w:num>
  <w:num w:numId="41" w16cid:durableId="1024332051">
    <w:abstractNumId w:val="29"/>
  </w:num>
  <w:num w:numId="42" w16cid:durableId="764574207">
    <w:abstractNumId w:val="6"/>
  </w:num>
  <w:num w:numId="43" w16cid:durableId="2068649199">
    <w:abstractNumId w:val="13"/>
  </w:num>
  <w:num w:numId="44" w16cid:durableId="2047559623">
    <w:abstractNumId w:val="17"/>
  </w:num>
  <w:num w:numId="45" w16cid:durableId="153838181">
    <w:abstractNumId w:val="14"/>
  </w:num>
  <w:num w:numId="46" w16cid:durableId="1531337689">
    <w:abstractNumId w:val="33"/>
  </w:num>
  <w:num w:numId="47" w16cid:durableId="1836342368">
    <w:abstractNumId w:val="32"/>
  </w:num>
  <w:num w:numId="48" w16cid:durableId="758915510">
    <w:abstractNumId w:val="46"/>
  </w:num>
  <w:num w:numId="49" w16cid:durableId="211374598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1FC"/>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C35"/>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278"/>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A90"/>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7A1"/>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554A983-7997-4105-9CA7-E22850C99477}">
  <ds:schemaRefs>
    <ds:schemaRef ds:uri="http://schemas.openxmlformats.org/officeDocument/2006/bibliography"/>
  </ds:schemaRefs>
</ds:datastoreItem>
</file>

<file path=customXml/itemProps6.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7.xml><?xml version="1.0" encoding="utf-8"?>
<ds:datastoreItem xmlns:ds="http://schemas.openxmlformats.org/officeDocument/2006/customXml" ds:itemID="{F31E541F-7B5E-46BB-91B9-679A170547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9191</Words>
  <Characters>52393</Characters>
  <Application>Microsoft Office Word</Application>
  <DocSecurity>0</DocSecurity>
  <Lines>436</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Chunhai Yao</cp:lastModifiedBy>
  <cp:revision>3</cp:revision>
  <cp:lastPrinted>2017-08-08T16:40:00Z</cp:lastPrinted>
  <dcterms:created xsi:type="dcterms:W3CDTF">2022-10-14T01:14:00Z</dcterms:created>
  <dcterms:modified xsi:type="dcterms:W3CDTF">2022-10-14T06:43:00Z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