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8558" w14:textId="4C61AAFA" w:rsidR="00A16361" w:rsidRDefault="00A805D7">
      <w:pPr>
        <w:pStyle w:val="Header"/>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cs="Arial"/>
          <w:bCs/>
          <w:sz w:val="28"/>
        </w:rPr>
        <w:t>3GPP TSG RAN WG1 Meeting #110</w:t>
      </w:r>
      <w:r w:rsidR="00730818">
        <w:rPr>
          <w:rFonts w:cs="Arial"/>
          <w:bCs/>
          <w:sz w:val="28"/>
        </w:rPr>
        <w:t>-bis-</w:t>
      </w:r>
      <w:proofErr w:type="gramStart"/>
      <w:r w:rsidR="00730818">
        <w:rPr>
          <w:rFonts w:cs="Arial"/>
          <w:bCs/>
          <w:sz w:val="28"/>
        </w:rPr>
        <w:t>e</w:t>
      </w:r>
      <w:r>
        <w:rPr>
          <w:rFonts w:cs="Arial"/>
          <w:bCs/>
          <w:sz w:val="28"/>
        </w:rPr>
        <w:t xml:space="preserve">  </w:t>
      </w:r>
      <w:r>
        <w:rPr>
          <w:rFonts w:cs="Arial"/>
          <w:bCs/>
          <w:sz w:val="28"/>
          <w:szCs w:val="24"/>
          <w:lang w:val="en-US" w:eastAsia="zh-TW"/>
        </w:rPr>
        <w:tab/>
      </w:r>
      <w:proofErr w:type="gramEnd"/>
      <w:r>
        <w:rPr>
          <w:rFonts w:eastAsia="MS Mincho" w:cs="Arial"/>
          <w:bCs/>
          <w:sz w:val="28"/>
          <w:szCs w:val="24"/>
          <w:lang w:val="en-US"/>
        </w:rPr>
        <w:t>R1-22</w:t>
      </w:r>
      <w:r w:rsidR="00730818">
        <w:rPr>
          <w:rFonts w:eastAsia="MS Mincho" w:cs="Arial"/>
          <w:bCs/>
          <w:sz w:val="28"/>
          <w:szCs w:val="24"/>
          <w:lang w:val="en-US"/>
        </w:rPr>
        <w:t>12058</w:t>
      </w:r>
    </w:p>
    <w:p w14:paraId="41904395" w14:textId="10365656" w:rsidR="00A16361" w:rsidRDefault="00730818">
      <w:pPr>
        <w:pStyle w:val="Header"/>
        <w:tabs>
          <w:tab w:val="center" w:pos="4536"/>
          <w:tab w:val="right" w:pos="8280"/>
          <w:tab w:val="right" w:pos="9781"/>
        </w:tabs>
        <w:spacing w:after="240"/>
        <w:ind w:right="-58"/>
        <w:rPr>
          <w:rFonts w:cs="Arial"/>
          <w:bCs/>
          <w:sz w:val="28"/>
        </w:rPr>
      </w:pPr>
      <w:r w:rsidRPr="00730818">
        <w:rPr>
          <w:rFonts w:cs="Arial"/>
          <w:bCs/>
          <w:sz w:val="28"/>
        </w:rPr>
        <w:t>e-Meeting, October 10</w:t>
      </w:r>
      <w:r w:rsidRPr="00730818">
        <w:rPr>
          <w:rFonts w:cs="Arial"/>
          <w:bCs/>
          <w:sz w:val="28"/>
          <w:vertAlign w:val="superscript"/>
        </w:rPr>
        <w:t>th</w:t>
      </w:r>
      <w:r>
        <w:rPr>
          <w:rFonts w:cs="Arial"/>
          <w:bCs/>
          <w:sz w:val="28"/>
        </w:rPr>
        <w:t xml:space="preserve"> </w:t>
      </w:r>
      <w:r w:rsidRPr="00730818">
        <w:rPr>
          <w:rFonts w:cs="Arial"/>
          <w:bCs/>
          <w:sz w:val="28"/>
        </w:rPr>
        <w:t>– 19</w:t>
      </w:r>
      <w:r w:rsidRPr="00730818">
        <w:rPr>
          <w:rFonts w:cs="Arial"/>
          <w:bCs/>
          <w:sz w:val="28"/>
          <w:vertAlign w:val="superscript"/>
        </w:rPr>
        <w:t>th</w:t>
      </w:r>
      <w:r w:rsidR="00A805D7">
        <w:rPr>
          <w:rFonts w:cs="Arial"/>
          <w:bCs/>
          <w:sz w:val="28"/>
        </w:rPr>
        <w:t xml:space="preserve">, 2022 </w:t>
      </w:r>
    </w:p>
    <w:p w14:paraId="567D70F6" w14:textId="77777777" w:rsidR="00A16361" w:rsidRDefault="00A805D7">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8.14</w:t>
      </w:r>
    </w:p>
    <w:p w14:paraId="2563724C" w14:textId="77777777" w:rsidR="00A16361" w:rsidRDefault="00A805D7">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73249AC8" w14:textId="77777777" w:rsidR="00A16361" w:rsidRDefault="00A805D7">
      <w:pPr>
        <w:pStyle w:val="Header"/>
        <w:tabs>
          <w:tab w:val="center" w:pos="4536"/>
          <w:tab w:val="right" w:pos="8280"/>
          <w:tab w:val="right" w:pos="9781"/>
        </w:tabs>
        <w:ind w:right="-58"/>
        <w:rPr>
          <w:rFonts w:cs="Arial"/>
          <w:bCs/>
          <w:sz w:val="28"/>
          <w:szCs w:val="24"/>
          <w:lang w:val="en-US" w:eastAsia="zh-TW"/>
        </w:rPr>
      </w:pPr>
      <w:r>
        <w:rPr>
          <w:rFonts w:cs="Arial"/>
          <w:bCs/>
          <w:sz w:val="28"/>
          <w:szCs w:val="24"/>
          <w:lang w:val="en-US" w:eastAsia="zh-TW"/>
        </w:rPr>
        <w:t>Title: Maintenance on NB-IoT/eMTC to support NTN: time and frequency</w:t>
      </w:r>
    </w:p>
    <w:p w14:paraId="5E52EE4E" w14:textId="77777777" w:rsidR="00A16361" w:rsidRDefault="00A805D7">
      <w:pPr>
        <w:pStyle w:val="Header"/>
        <w:tabs>
          <w:tab w:val="center" w:pos="4536"/>
          <w:tab w:val="right" w:pos="8280"/>
          <w:tab w:val="right" w:pos="9781"/>
        </w:tabs>
        <w:ind w:right="-58"/>
        <w:rPr>
          <w:rFonts w:cs="Arial"/>
          <w:bCs/>
          <w:sz w:val="28"/>
          <w:szCs w:val="24"/>
          <w:lang w:val="en-US" w:eastAsia="zh-TW"/>
        </w:rPr>
      </w:pPr>
      <w:r>
        <w:rPr>
          <w:rFonts w:cs="Arial"/>
          <w:bCs/>
          <w:sz w:val="28"/>
          <w:szCs w:val="24"/>
          <w:lang w:val="en-US" w:eastAsia="zh-TW"/>
        </w:rPr>
        <w:t>synchronization</w:t>
      </w:r>
    </w:p>
    <w:p w14:paraId="2E8D05B9" w14:textId="77777777" w:rsidR="00A16361" w:rsidRDefault="00A805D7">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73214672" w14:textId="77777777" w:rsidR="00A16361" w:rsidRDefault="00A805D7">
      <w:pPr>
        <w:pStyle w:val="Heading1"/>
        <w:rPr>
          <w:rFonts w:cs="Arial"/>
        </w:rPr>
      </w:pPr>
      <w:r>
        <w:rPr>
          <w:rFonts w:cs="Arial"/>
          <w:lang w:eastAsia="zh-TW"/>
        </w:rPr>
        <w:t>Introduction</w:t>
      </w:r>
    </w:p>
    <w:p w14:paraId="5E98851D" w14:textId="77777777" w:rsidR="00A16361" w:rsidRDefault="00A805D7">
      <w:pPr>
        <w:rPr>
          <w:i/>
          <w:highlight w:val="yellow"/>
        </w:rPr>
      </w:pPr>
      <w:r>
        <w:t xml:space="preserve">At the RAN#92 meeting, a new Work Item was approved for IoT </w:t>
      </w:r>
      <w:proofErr w:type="gramStart"/>
      <w:r>
        <w:t>Non Terrestrial</w:t>
      </w:r>
      <w:proofErr w:type="gramEnd"/>
      <w:r>
        <w:t xml:space="preserve"> Network (NTN) [1].  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1C379390" w14:textId="6150D0F3" w:rsidR="00A16361" w:rsidRDefault="00A805D7">
      <w:pPr>
        <w:pStyle w:val="BodyText"/>
        <w:rPr>
          <w:lang w:val="en-US"/>
        </w:rPr>
      </w:pPr>
      <w:r>
        <w:rPr>
          <w:lang w:val="en-US"/>
        </w:rPr>
        <w:t>Identified remaining IoT NTN-specific topics are discussed in Sections 2, 3</w:t>
      </w:r>
      <w:r w:rsidR="00E96F96">
        <w:rPr>
          <w:lang w:val="en-US"/>
        </w:rPr>
        <w:t>, and 4</w:t>
      </w:r>
      <w:r>
        <w:rPr>
          <w:lang w:val="en-US"/>
        </w:rPr>
        <w:t xml:space="preserve">. </w:t>
      </w:r>
    </w:p>
    <w:p w14:paraId="5F8902F8" w14:textId="73445885" w:rsidR="002042AD" w:rsidRDefault="002042AD">
      <w:pPr>
        <w:pStyle w:val="BodyText"/>
        <w:rPr>
          <w:lang w:val="en-US"/>
        </w:rPr>
      </w:pPr>
      <w:r>
        <w:rPr>
          <w:lang w:val="en-US"/>
        </w:rPr>
        <w:t>A s</w:t>
      </w:r>
      <w:r w:rsidRPr="002042AD">
        <w:rPr>
          <w:lang w:val="en-US"/>
        </w:rPr>
        <w:t>ummary of [110bis-e-R17-IoT-NTN-01] Email discussion to determine maintenance issues to be handled in RAN1#110bis-e</w:t>
      </w:r>
      <w:r>
        <w:rPr>
          <w:lang w:val="en-US"/>
        </w:rPr>
        <w:t xml:space="preserve"> is provided below </w:t>
      </w:r>
    </w:p>
    <w:p w14:paraId="0BA30EEC" w14:textId="2232E711" w:rsidR="002042AD" w:rsidRPr="002042AD" w:rsidRDefault="002042AD" w:rsidP="002042AD">
      <w:pPr>
        <w:pStyle w:val="BodyText"/>
        <w:numPr>
          <w:ilvl w:val="0"/>
          <w:numId w:val="24"/>
        </w:numPr>
        <w:rPr>
          <w:lang w:val="en-US"/>
        </w:rPr>
      </w:pPr>
      <w:r w:rsidRPr="002042AD">
        <w:rPr>
          <w:lang w:val="en-US"/>
        </w:rPr>
        <w:t>Issues 1-1, 1-6, 1-7, 1-8 are editorial revisions</w:t>
      </w:r>
    </w:p>
    <w:p w14:paraId="1378BF49" w14:textId="30563BCC" w:rsidR="002042AD" w:rsidRPr="002042AD" w:rsidRDefault="002042AD" w:rsidP="002042AD">
      <w:pPr>
        <w:pStyle w:val="BodyText"/>
        <w:numPr>
          <w:ilvl w:val="0"/>
          <w:numId w:val="24"/>
        </w:numPr>
        <w:rPr>
          <w:lang w:val="en-US"/>
        </w:rPr>
      </w:pPr>
      <w:r w:rsidRPr="002042AD">
        <w:rPr>
          <w:lang w:val="en-US"/>
        </w:rPr>
        <w:t>Issues 1-2, 1-3, 1-9 are not for discussion in RAN1#110bis-e</w:t>
      </w:r>
    </w:p>
    <w:p w14:paraId="31FAE572" w14:textId="1DA6B092" w:rsidR="002042AD" w:rsidRDefault="002042AD" w:rsidP="002042AD">
      <w:pPr>
        <w:pStyle w:val="BodyText"/>
        <w:numPr>
          <w:ilvl w:val="0"/>
          <w:numId w:val="24"/>
        </w:numPr>
        <w:rPr>
          <w:lang w:val="en-US"/>
        </w:rPr>
      </w:pPr>
      <w:r w:rsidRPr="002042AD">
        <w:rPr>
          <w:lang w:val="en-US"/>
        </w:rPr>
        <w:t>Issues 1-4, 1-5 are for discussion in RAN1#110bis-e</w:t>
      </w:r>
    </w:p>
    <w:p w14:paraId="72750702" w14:textId="4447D1F2" w:rsidR="002042AD" w:rsidRDefault="002042AD">
      <w:pPr>
        <w:pStyle w:val="BodyText"/>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5469"/>
        <w:gridCol w:w="3465"/>
      </w:tblGrid>
      <w:tr w:rsidR="002042AD" w14:paraId="41352B9D" w14:textId="77777777" w:rsidTr="002042AD">
        <w:trPr>
          <w:trHeight w:val="53"/>
        </w:trPr>
        <w:tc>
          <w:tcPr>
            <w:tcW w:w="349" w:type="pct"/>
            <w:tcBorders>
              <w:top w:val="single" w:sz="4" w:space="0" w:color="auto"/>
              <w:left w:val="single" w:sz="4" w:space="0" w:color="auto"/>
              <w:bottom w:val="single" w:sz="4" w:space="0" w:color="auto"/>
              <w:right w:val="single" w:sz="4" w:space="0" w:color="auto"/>
            </w:tcBorders>
            <w:shd w:val="clear" w:color="auto" w:fill="00B0F0"/>
            <w:hideMark/>
          </w:tcPr>
          <w:p w14:paraId="271FA2B1" w14:textId="77777777" w:rsidR="002042AD" w:rsidRDefault="002042AD">
            <w:pPr>
              <w:snapToGrid w:val="0"/>
              <w:rPr>
                <w:b/>
                <w:color w:val="FFFFFF" w:themeColor="background1"/>
                <w:sz w:val="18"/>
                <w:szCs w:val="18"/>
              </w:rPr>
            </w:pPr>
            <w:r>
              <w:rPr>
                <w:b/>
                <w:color w:val="FFFFFF" w:themeColor="background1"/>
                <w:sz w:val="18"/>
                <w:szCs w:val="18"/>
              </w:rPr>
              <w:t>Issue#</w:t>
            </w:r>
          </w:p>
        </w:tc>
        <w:tc>
          <w:tcPr>
            <w:tcW w:w="2846" w:type="pct"/>
            <w:tcBorders>
              <w:top w:val="single" w:sz="4" w:space="0" w:color="auto"/>
              <w:left w:val="single" w:sz="4" w:space="0" w:color="auto"/>
              <w:bottom w:val="single" w:sz="4" w:space="0" w:color="auto"/>
              <w:right w:val="single" w:sz="4" w:space="0" w:color="auto"/>
            </w:tcBorders>
            <w:shd w:val="clear" w:color="auto" w:fill="00B0F0"/>
            <w:hideMark/>
          </w:tcPr>
          <w:p w14:paraId="03B12769" w14:textId="77777777" w:rsidR="002042AD" w:rsidRDefault="002042AD">
            <w:pPr>
              <w:snapToGrid w:val="0"/>
              <w:rPr>
                <w:b/>
                <w:color w:val="FFFFFF" w:themeColor="background1"/>
                <w:sz w:val="18"/>
                <w:szCs w:val="18"/>
              </w:rPr>
            </w:pPr>
            <w:r>
              <w:rPr>
                <w:b/>
                <w:color w:val="FFFFFF" w:themeColor="background1"/>
                <w:sz w:val="18"/>
                <w:szCs w:val="18"/>
              </w:rPr>
              <w:t>Issue</w:t>
            </w:r>
          </w:p>
        </w:tc>
        <w:tc>
          <w:tcPr>
            <w:tcW w:w="1805" w:type="pct"/>
            <w:tcBorders>
              <w:top w:val="single" w:sz="4" w:space="0" w:color="auto"/>
              <w:left w:val="single" w:sz="4" w:space="0" w:color="auto"/>
              <w:bottom w:val="single" w:sz="4" w:space="0" w:color="auto"/>
              <w:right w:val="single" w:sz="4" w:space="0" w:color="auto"/>
            </w:tcBorders>
            <w:shd w:val="clear" w:color="auto" w:fill="00B0F0"/>
            <w:hideMark/>
          </w:tcPr>
          <w:p w14:paraId="3E41A915" w14:textId="77777777" w:rsidR="002042AD" w:rsidRDefault="002042AD">
            <w:pPr>
              <w:snapToGrid w:val="0"/>
              <w:rPr>
                <w:b/>
                <w:color w:val="FFFFFF" w:themeColor="background1"/>
                <w:sz w:val="18"/>
                <w:szCs w:val="18"/>
              </w:rPr>
            </w:pPr>
            <w:r>
              <w:rPr>
                <w:b/>
                <w:color w:val="FFFFFF" w:themeColor="background1"/>
                <w:sz w:val="18"/>
                <w:szCs w:val="18"/>
              </w:rPr>
              <w:t>Company inputs (if any)</w:t>
            </w:r>
          </w:p>
          <w:p w14:paraId="78005E78" w14:textId="77777777" w:rsidR="002042AD" w:rsidRDefault="002042AD">
            <w:pPr>
              <w:snapToGrid w:val="0"/>
              <w:rPr>
                <w:rFonts w:eastAsia="SimSun"/>
                <w:color w:val="FFFFFF" w:themeColor="background1"/>
                <w:sz w:val="18"/>
                <w:szCs w:val="18"/>
                <w:lang w:eastAsia="zh-CN"/>
              </w:rPr>
            </w:pPr>
            <w:r>
              <w:rPr>
                <w:rFonts w:eastAsia="SimSun"/>
                <w:color w:val="FFFFFF" w:themeColor="background1"/>
                <w:sz w:val="18"/>
                <w:szCs w:val="18"/>
                <w:lang w:eastAsia="zh-CN"/>
              </w:rPr>
              <w:t>[Companies will provide their views here]</w:t>
            </w:r>
          </w:p>
        </w:tc>
      </w:tr>
      <w:tr w:rsidR="002042AD" w14:paraId="63810A70"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2FD6EFFE" w14:textId="77777777" w:rsidR="002042AD" w:rsidRDefault="002042AD">
            <w:pPr>
              <w:snapToGrid w:val="0"/>
              <w:rPr>
                <w:sz w:val="18"/>
                <w:szCs w:val="18"/>
              </w:rPr>
            </w:pPr>
            <w:r>
              <w:rPr>
                <w:sz w:val="18"/>
                <w:szCs w:val="18"/>
              </w:rPr>
              <w:t>1-1</w:t>
            </w:r>
          </w:p>
        </w:tc>
        <w:tc>
          <w:tcPr>
            <w:tcW w:w="2846" w:type="pct"/>
            <w:tcBorders>
              <w:top w:val="single" w:sz="4" w:space="0" w:color="auto"/>
              <w:left w:val="single" w:sz="4" w:space="0" w:color="auto"/>
              <w:bottom w:val="single" w:sz="4" w:space="0" w:color="auto"/>
              <w:right w:val="single" w:sz="4" w:space="0" w:color="auto"/>
            </w:tcBorders>
          </w:tcPr>
          <w:p w14:paraId="63C1A176" w14:textId="77777777" w:rsidR="002042AD" w:rsidRDefault="002042AD">
            <w:pPr>
              <w:rPr>
                <w:noProof/>
                <w:color w:val="0070C0"/>
                <w:sz w:val="18"/>
                <w:szCs w:val="18"/>
              </w:rPr>
            </w:pPr>
            <w:r>
              <w:rPr>
                <w:noProof/>
                <w:color w:val="0070C0"/>
                <w:sz w:val="18"/>
                <w:szCs w:val="18"/>
              </w:rPr>
              <w:t xml:space="preserve">Clarify source of </w:t>
            </w:r>
            <w:r>
              <w:rPr>
                <w:bCs/>
                <w:color w:val="0070C0"/>
                <w:sz w:val="18"/>
                <w:szCs w:val="18"/>
              </w:rPr>
              <w:t xml:space="preserve">quantity </w:t>
            </w:r>
            <m:oMath>
              <m:sSubSup>
                <m:sSubSupPr>
                  <m:ctrlPr>
                    <w:rPr>
                      <w:rFonts w:ascii="Cambria Math" w:eastAsia="Calibri" w:hAnsi="Cambria Math"/>
                      <w:color w:val="0070C0"/>
                      <w:sz w:val="18"/>
                      <w:szCs w:val="18"/>
                    </w:rPr>
                  </m:ctrlPr>
                </m:sSubSupPr>
                <m:e>
                  <m:r>
                    <w:rPr>
                      <w:rFonts w:ascii="Cambria Math" w:hAnsi="Cambria Math"/>
                      <w:color w:val="0070C0"/>
                      <w:sz w:val="18"/>
                      <w:szCs w:val="18"/>
                    </w:rPr>
                    <m:t>N</m:t>
                  </m:r>
                </m:e>
                <m:sub>
                  <m:r>
                    <m:rPr>
                      <m:sty m:val="p"/>
                    </m:rPr>
                    <w:rPr>
                      <w:rFonts w:ascii="Cambria Math" w:hAnsi="Cambria Math"/>
                      <w:color w:val="0070C0"/>
                      <w:sz w:val="18"/>
                      <w:szCs w:val="18"/>
                    </w:rPr>
                    <m:t>segment</m:t>
                  </m:r>
                </m:sub>
                <m:sup>
                  <m:r>
                    <m:rPr>
                      <m:sty m:val="p"/>
                    </m:rPr>
                    <w:rPr>
                      <w:rFonts w:ascii="Cambria Math" w:hAnsi="Cambria Math"/>
                      <w:color w:val="0070C0"/>
                      <w:sz w:val="18"/>
                      <w:szCs w:val="18"/>
                    </w:rPr>
                    <m:t>precompensation</m:t>
                  </m:r>
                </m:sup>
              </m:sSubSup>
            </m:oMath>
            <w:r>
              <w:rPr>
                <w:color w:val="0070C0"/>
                <w:sz w:val="18"/>
                <w:szCs w:val="18"/>
              </w:rPr>
              <w:t xml:space="preserve"> in higher layer configuration for eMTC and NB-IoT</w:t>
            </w:r>
            <w:r>
              <w:rPr>
                <w:noProof/>
                <w:color w:val="0070C0"/>
                <w:sz w:val="18"/>
                <w:szCs w:val="18"/>
              </w:rPr>
              <w:t xml:space="preserve"> UE when the UE performs segmented pre-compensation.</w:t>
            </w:r>
          </w:p>
          <w:p w14:paraId="165C22EE" w14:textId="77777777" w:rsidR="002042AD" w:rsidRDefault="002042AD">
            <w:pPr>
              <w:rPr>
                <w:noProof/>
                <w:sz w:val="18"/>
                <w:szCs w:val="18"/>
              </w:rPr>
            </w:pPr>
          </w:p>
          <w:p w14:paraId="67B4CFFD" w14:textId="77777777" w:rsidR="002042AD" w:rsidRDefault="002042AD">
            <w:pPr>
              <w:rPr>
                <w:sz w:val="18"/>
                <w:lang w:eastAsia="ja-JP"/>
              </w:rPr>
            </w:pPr>
            <w:r>
              <w:rPr>
                <w:sz w:val="18"/>
                <w:lang w:eastAsia="ja-JP"/>
              </w:rPr>
              <w:t xml:space="preserve">In RAN1#107-e, there </w:t>
            </w:r>
            <w:proofErr w:type="gramStart"/>
            <w:r>
              <w:rPr>
                <w:sz w:val="18"/>
                <w:lang w:eastAsia="ja-JP"/>
              </w:rPr>
              <w:t>was  agreement</w:t>
            </w:r>
            <w:proofErr w:type="gramEnd"/>
            <w:r>
              <w:rPr>
                <w:sz w:val="18"/>
                <w:lang w:eastAsia="ja-JP"/>
              </w:rPr>
              <w:t>.</w:t>
            </w:r>
          </w:p>
          <w:p w14:paraId="1E9BFA59" w14:textId="77777777" w:rsidR="002042AD" w:rsidRDefault="002042AD">
            <w:pPr>
              <w:rPr>
                <w:rFonts w:ascii="Arial" w:hAnsi="Arial" w:cs="Arial"/>
                <w:sz w:val="18"/>
                <w:lang w:eastAsia="en-GB"/>
              </w:rPr>
            </w:pPr>
            <w:r>
              <w:rPr>
                <w:rFonts w:ascii="Arial" w:hAnsi="Arial" w:cs="Arial"/>
                <w:b/>
                <w:bCs/>
                <w:sz w:val="18"/>
                <w:highlight w:val="green"/>
              </w:rPr>
              <w:t>Agreement</w:t>
            </w:r>
          </w:p>
          <w:p w14:paraId="60DFEF36" w14:textId="77777777" w:rsidR="002042AD" w:rsidRDefault="002042AD">
            <w:pPr>
              <w:rPr>
                <w:rFonts w:ascii="Arial" w:hAnsi="Arial" w:cs="Arial"/>
                <w:sz w:val="18"/>
              </w:rPr>
            </w:pPr>
            <w:r>
              <w:rPr>
                <w:rFonts w:ascii="Arial" w:hAnsi="Arial" w:cs="Arial"/>
                <w:sz w:val="18"/>
              </w:rPr>
              <w:t>Support network re-configuration of UL transmission segment by dedicated RRC Signalling</w:t>
            </w:r>
          </w:p>
          <w:p w14:paraId="09E8E461" w14:textId="77777777" w:rsidR="002042AD" w:rsidRDefault="002042AD"/>
          <w:p w14:paraId="468E1715" w14:textId="77777777" w:rsidR="002042AD" w:rsidRDefault="002042AD">
            <w:pPr>
              <w:rPr>
                <w:sz w:val="18"/>
                <w:szCs w:val="18"/>
              </w:rPr>
            </w:pPr>
            <w:r>
              <w:rPr>
                <w:sz w:val="18"/>
                <w:szCs w:val="18"/>
              </w:rPr>
              <w:t xml:space="preserve">In TS 36.213, “higher layer” is typically used for RRC parameters provided with common RRC signalling in SIB or dedicated RRC signalling. </w:t>
            </w:r>
          </w:p>
          <w:p w14:paraId="54186329" w14:textId="77777777" w:rsidR="002042AD" w:rsidRDefault="002042AD">
            <w:pPr>
              <w:rPr>
                <w:sz w:val="18"/>
                <w:szCs w:val="18"/>
              </w:rPr>
            </w:pPr>
          </w:p>
          <w:p w14:paraId="46A0F044" w14:textId="77777777" w:rsidR="002042AD" w:rsidRDefault="002042AD">
            <w:pPr>
              <w:rPr>
                <w:sz w:val="18"/>
                <w:szCs w:val="18"/>
              </w:rPr>
            </w:pPr>
            <w:r>
              <w:rPr>
                <w:sz w:val="18"/>
                <w:szCs w:val="18"/>
              </w:rPr>
              <w:t xml:space="preserve">Moderator understanding is that the text in TS 36.213 Section 4.2.3 and 16.1.2 should be revised as </w:t>
            </w:r>
            <w:r>
              <w:rPr>
                <w:bCs/>
                <w:sz w:val="18"/>
                <w:szCs w:val="18"/>
              </w:rPr>
              <w:t xml:space="preserve">“where the quantity </w:t>
            </w:r>
            <m:oMath>
              <m:sSubSup>
                <m:sSubSupPr>
                  <m:ctrlPr>
                    <w:rPr>
                      <w:rFonts w:ascii="Cambria Math" w:eastAsia="Calibri" w:hAnsi="Cambria Math"/>
                      <w:sz w:val="18"/>
                      <w:szCs w:val="18"/>
                    </w:rPr>
                  </m:ctrlPr>
                </m:sSubSupPr>
                <m:e>
                  <m:r>
                    <w:rPr>
                      <w:rFonts w:ascii="Cambria Math" w:hAnsi="Cambria Math"/>
                      <w:sz w:val="18"/>
                      <w:szCs w:val="18"/>
                    </w:rPr>
                    <m:t>N</m:t>
                  </m:r>
                </m:e>
                <m:sub>
                  <m:r>
                    <m:rPr>
                      <m:sty m:val="p"/>
                    </m:rPr>
                    <w:rPr>
                      <w:rFonts w:ascii="Cambria Math" w:hAnsi="Cambria Math"/>
                      <w:sz w:val="18"/>
                      <w:szCs w:val="18"/>
                    </w:rPr>
                    <m:t>segment</m:t>
                  </m:r>
                </m:sub>
                <m:sup>
                  <m:r>
                    <m:rPr>
                      <m:sty m:val="p"/>
                    </m:rPr>
                    <w:rPr>
                      <w:rFonts w:ascii="Cambria Math" w:hAnsi="Cambria Math"/>
                      <w:sz w:val="18"/>
                      <w:szCs w:val="18"/>
                    </w:rPr>
                    <m:t>precompensation</m:t>
                  </m:r>
                </m:sup>
              </m:sSubSup>
            </m:oMath>
            <w:r>
              <w:rPr>
                <w:bCs/>
                <w:sz w:val="18"/>
                <w:szCs w:val="18"/>
              </w:rPr>
              <w:t xml:space="preserve"> is provided by </w:t>
            </w:r>
            <w:r>
              <w:rPr>
                <w:bCs/>
                <w:strike/>
                <w:color w:val="FF0000"/>
                <w:sz w:val="18"/>
                <w:szCs w:val="18"/>
              </w:rPr>
              <w:t>system information</w:t>
            </w:r>
            <w:r>
              <w:rPr>
                <w:bCs/>
                <w:sz w:val="18"/>
                <w:szCs w:val="18"/>
              </w:rPr>
              <w:t xml:space="preserve"> </w:t>
            </w:r>
            <w:r>
              <w:rPr>
                <w:bCs/>
                <w:color w:val="FF0000"/>
                <w:sz w:val="18"/>
                <w:szCs w:val="18"/>
              </w:rPr>
              <w:t>by higher layer</w:t>
            </w:r>
            <w:r>
              <w:rPr>
                <w:bCs/>
                <w:sz w:val="18"/>
                <w:szCs w:val="18"/>
              </w:rPr>
              <w:t>, as specified in 3GPP TS 36.331”</w:t>
            </w:r>
          </w:p>
          <w:p w14:paraId="272E2869" w14:textId="77777777" w:rsidR="002042AD" w:rsidRDefault="002042AD">
            <w:pPr>
              <w:snapToGrid w:val="0"/>
              <w:rPr>
                <w:rFonts w:eastAsia="DengXian"/>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30D11777" w14:textId="77777777" w:rsidR="002042AD" w:rsidRDefault="002042AD">
            <w:pPr>
              <w:snapToGrid w:val="0"/>
              <w:rPr>
                <w:sz w:val="18"/>
                <w:szCs w:val="18"/>
                <w:lang w:eastAsia="zh-CN"/>
              </w:rPr>
            </w:pPr>
            <w:r>
              <w:rPr>
                <w:sz w:val="18"/>
                <w:szCs w:val="18"/>
                <w:lang w:eastAsia="zh-CN"/>
              </w:rPr>
              <w:t>8 Companies (Lenovo, OPPO, ZTE, QUALCOMM, Nokia/</w:t>
            </w:r>
            <w:proofErr w:type="gramStart"/>
            <w:r>
              <w:rPr>
                <w:sz w:val="18"/>
                <w:szCs w:val="18"/>
                <w:lang w:eastAsia="zh-CN"/>
              </w:rPr>
              <w:t>NSB,SONY</w:t>
            </w:r>
            <w:proofErr w:type="gramEnd"/>
            <w:r>
              <w:rPr>
                <w:sz w:val="18"/>
                <w:szCs w:val="18"/>
                <w:lang w:eastAsia="zh-CN"/>
              </w:rPr>
              <w:t xml:space="preserve">, </w:t>
            </w:r>
            <w:proofErr w:type="spellStart"/>
            <w:r>
              <w:rPr>
                <w:sz w:val="18"/>
                <w:szCs w:val="18"/>
                <w:lang w:eastAsia="zh-CN"/>
              </w:rPr>
              <w:t>Sequams</w:t>
            </w:r>
            <w:proofErr w:type="spellEnd"/>
            <w:r>
              <w:rPr>
                <w:sz w:val="18"/>
                <w:szCs w:val="18"/>
                <w:lang w:eastAsia="zh-CN"/>
              </w:rPr>
              <w:t xml:space="preserve">, MediaTek) agreed with the moderator editorial text revision. </w:t>
            </w:r>
          </w:p>
          <w:p w14:paraId="607E0978" w14:textId="77777777" w:rsidR="002042AD" w:rsidRDefault="002042AD">
            <w:pPr>
              <w:snapToGrid w:val="0"/>
              <w:rPr>
                <w:sz w:val="18"/>
                <w:szCs w:val="18"/>
                <w:lang w:eastAsia="zh-CN"/>
              </w:rPr>
            </w:pPr>
          </w:p>
          <w:p w14:paraId="5E3E273E" w14:textId="77777777" w:rsidR="002042AD" w:rsidRDefault="002042AD">
            <w:pPr>
              <w:snapToGrid w:val="0"/>
              <w:rPr>
                <w:sz w:val="18"/>
                <w:szCs w:val="18"/>
                <w:lang w:eastAsia="zh-CN"/>
              </w:rPr>
            </w:pPr>
            <w:r>
              <w:rPr>
                <w:b/>
                <w:bCs/>
                <w:sz w:val="18"/>
                <w:szCs w:val="18"/>
                <w:lang w:eastAsia="zh-CN"/>
              </w:rPr>
              <w:t>Moderator recommendation</w:t>
            </w:r>
            <w:r>
              <w:rPr>
                <w:sz w:val="18"/>
                <w:szCs w:val="18"/>
                <w:lang w:eastAsia="zh-CN"/>
              </w:rPr>
              <w:t xml:space="preserve">: The </w:t>
            </w:r>
            <w:r>
              <w:rPr>
                <w:sz w:val="18"/>
                <w:szCs w:val="18"/>
              </w:rPr>
              <w:t xml:space="preserve">text in TS 36.213 Section 4.2.3 and 16.1.2 should be revised as </w:t>
            </w:r>
            <w:r>
              <w:rPr>
                <w:bCs/>
                <w:sz w:val="18"/>
                <w:szCs w:val="18"/>
              </w:rPr>
              <w:t xml:space="preserve">“where the quantity </w:t>
            </w:r>
            <m:oMath>
              <m:sSubSup>
                <m:sSubSupPr>
                  <m:ctrlPr>
                    <w:rPr>
                      <w:rFonts w:ascii="Cambria Math" w:eastAsia="Calibri" w:hAnsi="Cambria Math"/>
                      <w:sz w:val="18"/>
                      <w:szCs w:val="18"/>
                    </w:rPr>
                  </m:ctrlPr>
                </m:sSubSupPr>
                <m:e>
                  <m:r>
                    <w:rPr>
                      <w:rFonts w:ascii="Cambria Math" w:hAnsi="Cambria Math"/>
                      <w:sz w:val="18"/>
                      <w:szCs w:val="18"/>
                    </w:rPr>
                    <m:t>N</m:t>
                  </m:r>
                </m:e>
                <m:sub>
                  <m:r>
                    <m:rPr>
                      <m:sty m:val="p"/>
                    </m:rPr>
                    <w:rPr>
                      <w:rFonts w:ascii="Cambria Math" w:hAnsi="Cambria Math"/>
                      <w:sz w:val="18"/>
                      <w:szCs w:val="18"/>
                    </w:rPr>
                    <m:t>segment</m:t>
                  </m:r>
                </m:sub>
                <m:sup>
                  <m:r>
                    <m:rPr>
                      <m:sty m:val="p"/>
                    </m:rPr>
                    <w:rPr>
                      <w:rFonts w:ascii="Cambria Math" w:hAnsi="Cambria Math"/>
                      <w:sz w:val="18"/>
                      <w:szCs w:val="18"/>
                    </w:rPr>
                    <m:t>precompensation</m:t>
                  </m:r>
                </m:sup>
              </m:sSubSup>
            </m:oMath>
            <w:r>
              <w:rPr>
                <w:bCs/>
                <w:sz w:val="18"/>
                <w:szCs w:val="18"/>
              </w:rPr>
              <w:t xml:space="preserve"> is provided by </w:t>
            </w:r>
            <w:r>
              <w:rPr>
                <w:bCs/>
                <w:strike/>
                <w:color w:val="FF0000"/>
                <w:sz w:val="18"/>
                <w:szCs w:val="18"/>
              </w:rPr>
              <w:t>system information</w:t>
            </w:r>
            <w:r>
              <w:rPr>
                <w:bCs/>
                <w:sz w:val="18"/>
                <w:szCs w:val="18"/>
              </w:rPr>
              <w:t xml:space="preserve"> </w:t>
            </w:r>
            <w:r>
              <w:rPr>
                <w:bCs/>
                <w:color w:val="FF0000"/>
                <w:sz w:val="18"/>
                <w:szCs w:val="18"/>
              </w:rPr>
              <w:t>higher layer</w:t>
            </w:r>
            <w:r>
              <w:rPr>
                <w:bCs/>
                <w:sz w:val="18"/>
                <w:szCs w:val="18"/>
              </w:rPr>
              <w:t>, as specified in 3GPP TS 36.331”</w:t>
            </w:r>
            <w:r>
              <w:rPr>
                <w:sz w:val="18"/>
                <w:szCs w:val="18"/>
                <w:lang w:eastAsia="zh-CN"/>
              </w:rPr>
              <w:t xml:space="preserve"> </w:t>
            </w:r>
          </w:p>
          <w:p w14:paraId="11746FE2" w14:textId="77777777" w:rsidR="002042AD" w:rsidRDefault="002042AD">
            <w:pPr>
              <w:snapToGrid w:val="0"/>
              <w:rPr>
                <w:sz w:val="18"/>
                <w:szCs w:val="18"/>
                <w:lang w:eastAsia="zh-CN"/>
              </w:rPr>
            </w:pPr>
          </w:p>
          <w:p w14:paraId="3AF4FC55" w14:textId="77777777" w:rsidR="002042AD" w:rsidRDefault="002042AD">
            <w:pPr>
              <w:snapToGrid w:val="0"/>
              <w:rPr>
                <w:sz w:val="18"/>
                <w:szCs w:val="18"/>
                <w:lang w:eastAsia="zh-CN"/>
              </w:rPr>
            </w:pPr>
          </w:p>
        </w:tc>
      </w:tr>
      <w:tr w:rsidR="002042AD" w14:paraId="53DE7B61"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687A686A" w14:textId="77777777" w:rsidR="002042AD" w:rsidRDefault="002042AD">
            <w:pPr>
              <w:snapToGrid w:val="0"/>
              <w:rPr>
                <w:sz w:val="18"/>
                <w:szCs w:val="18"/>
              </w:rPr>
            </w:pPr>
            <w:r>
              <w:rPr>
                <w:sz w:val="18"/>
                <w:szCs w:val="18"/>
              </w:rPr>
              <w:lastRenderedPageBreak/>
              <w:t>1-2</w:t>
            </w:r>
          </w:p>
        </w:tc>
        <w:tc>
          <w:tcPr>
            <w:tcW w:w="2846" w:type="pct"/>
            <w:tcBorders>
              <w:top w:val="single" w:sz="4" w:space="0" w:color="auto"/>
              <w:left w:val="single" w:sz="4" w:space="0" w:color="auto"/>
              <w:bottom w:val="single" w:sz="4" w:space="0" w:color="auto"/>
              <w:right w:val="single" w:sz="4" w:space="0" w:color="auto"/>
            </w:tcBorders>
          </w:tcPr>
          <w:p w14:paraId="3B04A2C5" w14:textId="77777777" w:rsidR="002042AD" w:rsidRDefault="002042AD">
            <w:pPr>
              <w:snapToGrid w:val="0"/>
              <w:rPr>
                <w:rFonts w:eastAsia="DengXian"/>
                <w:color w:val="0070C0"/>
                <w:sz w:val="18"/>
                <w:szCs w:val="18"/>
                <w:lang w:eastAsia="zh-CN"/>
              </w:rPr>
            </w:pPr>
            <w:r>
              <w:rPr>
                <w:rFonts w:eastAsia="DengXian"/>
                <w:color w:val="0070C0"/>
                <w:sz w:val="18"/>
                <w:szCs w:val="18"/>
                <w:lang w:eastAsia="zh-CN"/>
              </w:rPr>
              <w:t xml:space="preserve">Clarify UE </w:t>
            </w:r>
            <w:proofErr w:type="spellStart"/>
            <w:r>
              <w:rPr>
                <w:rFonts w:eastAsia="DengXian"/>
                <w:color w:val="0070C0"/>
                <w:sz w:val="18"/>
                <w:szCs w:val="18"/>
                <w:lang w:eastAsia="zh-CN"/>
              </w:rPr>
              <w:t>behavior</w:t>
            </w:r>
            <w:proofErr w:type="spellEnd"/>
            <w:r>
              <w:rPr>
                <w:rFonts w:eastAsia="DengXian"/>
                <w:color w:val="0070C0"/>
                <w:sz w:val="18"/>
                <w:szCs w:val="18"/>
                <w:lang w:eastAsia="zh-CN"/>
              </w:rPr>
              <w:t xml:space="preserve"> of dropping samples for NPRACH of NB-IoT UE when the UE performs segmented pre-compensation.</w:t>
            </w:r>
          </w:p>
          <w:p w14:paraId="3BE52780" w14:textId="77777777" w:rsidR="002042AD" w:rsidRDefault="002042AD">
            <w:pPr>
              <w:rPr>
                <w:sz w:val="18"/>
                <w:szCs w:val="18"/>
              </w:rPr>
            </w:pPr>
          </w:p>
          <w:p w14:paraId="61291B5C" w14:textId="77777777" w:rsidR="002042AD" w:rsidRDefault="002042AD">
            <w:pPr>
              <w:rPr>
                <w:sz w:val="18"/>
                <w:szCs w:val="18"/>
              </w:rPr>
            </w:pPr>
            <w:r>
              <w:rPr>
                <w:sz w:val="18"/>
                <w:szCs w:val="18"/>
              </w:rPr>
              <w:t>The text proposal aims to clarify the UE behaviour for adjustment of the uplink transmission timing for NPRACH. This UE behaviour was discussed in RAN</w:t>
            </w:r>
            <w:proofErr w:type="gramStart"/>
            <w:r>
              <w:rPr>
                <w:sz w:val="18"/>
                <w:szCs w:val="18"/>
              </w:rPr>
              <w:t>1  with</w:t>
            </w:r>
            <w:proofErr w:type="gramEnd"/>
            <w:r>
              <w:rPr>
                <w:sz w:val="18"/>
                <w:szCs w:val="18"/>
              </w:rPr>
              <w:t xml:space="preserve"> following agreement in RAN1 107e. </w:t>
            </w:r>
          </w:p>
          <w:p w14:paraId="010B8BAA" w14:textId="77777777" w:rsidR="002042AD" w:rsidRDefault="002042AD">
            <w:pPr>
              <w:rPr>
                <w:rFonts w:ascii="Arial" w:eastAsia="Yu Mincho" w:hAnsi="Arial" w:cs="Arial"/>
                <w:sz w:val="18"/>
                <w:szCs w:val="18"/>
              </w:rPr>
            </w:pPr>
            <w:r>
              <w:rPr>
                <w:rFonts w:ascii="Arial" w:eastAsia="Yu Mincho" w:hAnsi="Arial" w:cs="Arial"/>
                <w:b/>
                <w:bCs/>
                <w:sz w:val="18"/>
                <w:szCs w:val="18"/>
                <w:highlight w:val="green"/>
              </w:rPr>
              <w:t>Agreement</w:t>
            </w:r>
          </w:p>
          <w:p w14:paraId="32F9BA2C" w14:textId="77777777" w:rsidR="002042AD" w:rsidRDefault="002042AD">
            <w:pPr>
              <w:rPr>
                <w:rFonts w:ascii="Arial" w:eastAsia="Yu Mincho" w:hAnsi="Arial" w:cs="Arial"/>
                <w:sz w:val="18"/>
                <w:szCs w:val="18"/>
                <w:lang w:eastAsia="zh-CN"/>
              </w:rPr>
            </w:pPr>
            <w:r>
              <w:rPr>
                <w:rFonts w:ascii="Arial" w:eastAsia="Yu Mincho" w:hAnsi="Arial" w:cs="Arial"/>
                <w:sz w:val="18"/>
                <w:szCs w:val="18"/>
                <w:lang w:eastAsia="zh-CN"/>
              </w:rPr>
              <w:t>For NB-IoT, UE pre-compensation per segment of NPRACH is applied from one segment to the next segment by using one or more of the following methods if supported by UE implementation</w:t>
            </w:r>
          </w:p>
          <w:p w14:paraId="3167F36B" w14:textId="77777777" w:rsidR="002042AD" w:rsidRDefault="002042AD">
            <w:pPr>
              <w:tabs>
                <w:tab w:val="num" w:pos="360"/>
              </w:tabs>
              <w:textAlignment w:val="center"/>
              <w:rPr>
                <w:rFonts w:ascii="Arial" w:hAnsi="Arial" w:cs="Arial"/>
                <w:sz w:val="18"/>
                <w:szCs w:val="18"/>
                <w:lang w:eastAsia="zh-CN"/>
              </w:rPr>
            </w:pPr>
            <w:r>
              <w:rPr>
                <w:rFonts w:ascii="Arial" w:hAnsi="Arial" w:cs="Arial"/>
                <w:color w:val="000000"/>
                <w:sz w:val="18"/>
                <w:szCs w:val="18"/>
                <w:lang w:eastAsia="zh-CN"/>
              </w:rPr>
              <w:t>UE may drop / Insert samples</w:t>
            </w:r>
          </w:p>
          <w:p w14:paraId="7BF20F25" w14:textId="77777777" w:rsidR="002042AD" w:rsidRDefault="002042AD">
            <w:pPr>
              <w:tabs>
                <w:tab w:val="num" w:pos="360"/>
              </w:tabs>
              <w:textAlignment w:val="center"/>
              <w:rPr>
                <w:rFonts w:ascii="Arial" w:hAnsi="Arial" w:cs="Arial"/>
                <w:sz w:val="18"/>
                <w:szCs w:val="18"/>
                <w:lang w:eastAsia="zh-CN"/>
              </w:rPr>
            </w:pPr>
            <w:r>
              <w:rPr>
                <w:rFonts w:ascii="Arial" w:hAnsi="Arial" w:cs="Arial"/>
                <w:color w:val="000000"/>
                <w:sz w:val="18"/>
                <w:szCs w:val="18"/>
                <w:lang w:eastAsia="zh-CN"/>
              </w:rPr>
              <w:t>UE may blank subframe / repetition unit where UE drops a subframe / repetition unit</w:t>
            </w:r>
          </w:p>
          <w:p w14:paraId="103BFAA3" w14:textId="77777777" w:rsidR="002042AD" w:rsidRDefault="002042AD">
            <w:pPr>
              <w:tabs>
                <w:tab w:val="num" w:pos="360"/>
              </w:tabs>
              <w:rPr>
                <w:rFonts w:ascii="Arial" w:hAnsi="Arial" w:cs="Arial"/>
                <w:color w:val="000000"/>
                <w:sz w:val="18"/>
                <w:szCs w:val="18"/>
                <w:lang w:eastAsia="zh-CN"/>
              </w:rPr>
            </w:pPr>
            <w:r>
              <w:rPr>
                <w:rFonts w:ascii="Arial" w:hAnsi="Arial" w:cs="Arial"/>
                <w:color w:val="000000"/>
                <w:sz w:val="18"/>
                <w:szCs w:val="18"/>
                <w:lang w:eastAsia="zh-CN"/>
              </w:rPr>
              <w:t>The total transmission time is not changed</w:t>
            </w:r>
          </w:p>
          <w:p w14:paraId="680B0891" w14:textId="77777777" w:rsidR="002042AD" w:rsidRDefault="002042AD">
            <w:pPr>
              <w:tabs>
                <w:tab w:val="num" w:pos="360"/>
              </w:tabs>
              <w:rPr>
                <w:rFonts w:ascii="Arial" w:hAnsi="Arial" w:cs="Arial"/>
                <w:color w:val="000000"/>
                <w:sz w:val="18"/>
                <w:szCs w:val="18"/>
                <w:lang w:eastAsia="zh-CN"/>
              </w:rPr>
            </w:pPr>
            <w:r>
              <w:rPr>
                <w:rFonts w:ascii="Arial" w:hAnsi="Arial" w:cs="Arial"/>
                <w:color w:val="000000"/>
                <w:sz w:val="18"/>
                <w:szCs w:val="18"/>
                <w:lang w:eastAsia="zh-CN"/>
              </w:rPr>
              <w:t xml:space="preserve">FFS Details of method(s) to drop / insert samples / blank subframe / repetition unit </w:t>
            </w:r>
          </w:p>
          <w:p w14:paraId="0A549C37" w14:textId="77777777" w:rsidR="002042AD" w:rsidRDefault="002042AD">
            <w:pPr>
              <w:tabs>
                <w:tab w:val="num" w:pos="360"/>
              </w:tabs>
              <w:rPr>
                <w:rFonts w:ascii="Arial" w:hAnsi="Arial" w:cs="Arial"/>
                <w:color w:val="000000"/>
                <w:sz w:val="18"/>
                <w:szCs w:val="18"/>
                <w:lang w:eastAsia="zh-CN"/>
              </w:rPr>
            </w:pPr>
            <w:r>
              <w:rPr>
                <w:rFonts w:ascii="Arial" w:hAnsi="Arial" w:cs="Arial"/>
                <w:color w:val="000000"/>
                <w:sz w:val="18"/>
                <w:szCs w:val="18"/>
                <w:lang w:eastAsia="zh-CN"/>
              </w:rPr>
              <w:t>FFS Specification impact</w:t>
            </w:r>
          </w:p>
          <w:p w14:paraId="6AF98EEB" w14:textId="77777777" w:rsidR="002042AD" w:rsidRDefault="002042AD">
            <w:pPr>
              <w:rPr>
                <w:sz w:val="18"/>
                <w:szCs w:val="18"/>
              </w:rPr>
            </w:pPr>
          </w:p>
          <w:p w14:paraId="02ECBC45" w14:textId="77777777" w:rsidR="002042AD" w:rsidRDefault="002042AD">
            <w:pPr>
              <w:rPr>
                <w:rFonts w:eastAsia="SimSun"/>
                <w:sz w:val="18"/>
                <w:szCs w:val="18"/>
                <w:lang w:eastAsia="zh-CN"/>
              </w:rPr>
            </w:pPr>
            <w:r>
              <w:rPr>
                <w:rFonts w:eastAsia="SimSun"/>
                <w:sz w:val="18"/>
                <w:szCs w:val="18"/>
                <w:lang w:eastAsia="zh-CN"/>
              </w:rPr>
              <w:t xml:space="preserve">To the moderator </w:t>
            </w:r>
            <w:proofErr w:type="gramStart"/>
            <w:r>
              <w:rPr>
                <w:rFonts w:eastAsia="SimSun"/>
                <w:sz w:val="18"/>
                <w:szCs w:val="18"/>
                <w:lang w:eastAsia="zh-CN"/>
              </w:rPr>
              <w:t>understanding  there</w:t>
            </w:r>
            <w:proofErr w:type="gramEnd"/>
            <w:r>
              <w:rPr>
                <w:rFonts w:eastAsia="SimSun"/>
                <w:sz w:val="18"/>
                <w:szCs w:val="18"/>
                <w:lang w:eastAsia="zh-CN"/>
              </w:rPr>
              <w:t xml:space="preserve"> was no RAN1 agreement for the text proposal below for UE behaviour for timing adjustment for NPRACH and the current specification is sufficient.  </w:t>
            </w:r>
          </w:p>
          <w:p w14:paraId="4EFF4FF3" w14:textId="77777777" w:rsidR="002042AD" w:rsidRDefault="002042AD">
            <w:pPr>
              <w:rPr>
                <w:color w:val="FF0000"/>
                <w:sz w:val="18"/>
                <w:szCs w:val="18"/>
              </w:rPr>
            </w:pPr>
            <w:r>
              <w:rPr>
                <w:rFonts w:eastAsia="SimSun"/>
                <w:color w:val="FF0000"/>
                <w:sz w:val="18"/>
                <w:szCs w:val="18"/>
                <w:lang w:eastAsia="zh-CN"/>
              </w:rPr>
              <w:t>W</w:t>
            </w:r>
            <w:r>
              <w:rPr>
                <w:color w:val="FF0000"/>
                <w:sz w:val="18"/>
                <w:szCs w:val="18"/>
              </w:rPr>
              <w:t xml:space="preserve">hen the UE's uplink </w:t>
            </w:r>
            <w:r>
              <w:rPr>
                <w:rFonts w:eastAsia="SimSun"/>
                <w:color w:val="FF0000"/>
                <w:sz w:val="18"/>
                <w:szCs w:val="18"/>
                <w:lang w:eastAsia="zh-CN"/>
              </w:rPr>
              <w:t>N</w:t>
            </w:r>
            <w:r>
              <w:rPr>
                <w:rFonts w:eastAsia="MS Mincho"/>
                <w:color w:val="FF0000"/>
                <w:sz w:val="18"/>
                <w:szCs w:val="18"/>
              </w:rPr>
              <w:t xml:space="preserve">PRACH </w:t>
            </w:r>
            <w:r>
              <w:rPr>
                <w:color w:val="FF0000"/>
                <w:sz w:val="18"/>
                <w:szCs w:val="18"/>
              </w:rPr>
              <w:t xml:space="preserve">transmissions in preamble sequence repetition </w:t>
            </w:r>
            <w:r>
              <w:rPr>
                <w:i/>
                <w:color w:val="FF0000"/>
                <w:sz w:val="18"/>
                <w:szCs w:val="18"/>
              </w:rPr>
              <w:t xml:space="preserve">n </w:t>
            </w:r>
            <w:r>
              <w:rPr>
                <w:color w:val="FF0000"/>
                <w:sz w:val="18"/>
                <w:szCs w:val="18"/>
              </w:rPr>
              <w:t xml:space="preserve">for one segment and preamble sequence repetition </w:t>
            </w:r>
            <w:r>
              <w:rPr>
                <w:i/>
                <w:color w:val="FF0000"/>
                <w:sz w:val="18"/>
                <w:szCs w:val="18"/>
              </w:rPr>
              <w:t>n</w:t>
            </w:r>
            <w:r>
              <w:rPr>
                <w:color w:val="FF0000"/>
                <w:sz w:val="18"/>
                <w:szCs w:val="18"/>
              </w:rPr>
              <w:t>+1 for the next segment are overlapped due to the timing adjustment, the UE shall</w:t>
            </w:r>
            <w:r>
              <w:rPr>
                <w:rFonts w:eastAsia="MS Mincho"/>
                <w:color w:val="FF0000"/>
                <w:sz w:val="18"/>
                <w:szCs w:val="18"/>
              </w:rPr>
              <w:t xml:space="preserve"> complete transmission of </w:t>
            </w:r>
            <w:r>
              <w:rPr>
                <w:color w:val="FF0000"/>
                <w:sz w:val="18"/>
                <w:szCs w:val="18"/>
              </w:rPr>
              <w:t xml:space="preserve">preamble sequence repetition </w:t>
            </w:r>
            <w:r>
              <w:rPr>
                <w:i/>
                <w:color w:val="FF0000"/>
                <w:sz w:val="18"/>
                <w:szCs w:val="18"/>
              </w:rPr>
              <w:t>n</w:t>
            </w:r>
            <w:r>
              <w:rPr>
                <w:color w:val="FF0000"/>
                <w:sz w:val="18"/>
                <w:szCs w:val="18"/>
              </w:rPr>
              <w:t xml:space="preserve"> </w:t>
            </w:r>
            <w:r>
              <w:rPr>
                <w:rFonts w:eastAsia="MS Mincho"/>
                <w:color w:val="FF0000"/>
                <w:sz w:val="18"/>
                <w:szCs w:val="18"/>
              </w:rPr>
              <w:t xml:space="preserve">and </w:t>
            </w:r>
            <w:r>
              <w:rPr>
                <w:color w:val="FF0000"/>
                <w:sz w:val="18"/>
                <w:szCs w:val="18"/>
              </w:rPr>
              <w:t xml:space="preserve">not transmit the overlapped part of preamble sequence repetition </w:t>
            </w:r>
            <w:r>
              <w:rPr>
                <w:i/>
                <w:color w:val="FF0000"/>
                <w:sz w:val="18"/>
                <w:szCs w:val="18"/>
              </w:rPr>
              <w:t>n</w:t>
            </w:r>
            <w:r>
              <w:rPr>
                <w:color w:val="FF0000"/>
                <w:sz w:val="18"/>
                <w:szCs w:val="18"/>
              </w:rPr>
              <w:t xml:space="preserve">+1.To the moderator understanding  there was no RAN1 agreement for this text proposal for UE behaviour for timing adjustment for NPRACH and the current specification is sufficient.  </w:t>
            </w:r>
          </w:p>
          <w:p w14:paraId="33AAEF8D" w14:textId="77777777" w:rsidR="002042AD" w:rsidRDefault="002042AD">
            <w:pPr>
              <w:snapToGrid w:val="0"/>
              <w:rPr>
                <w:rFonts w:eastAsia="DengXian"/>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3FB4CFA3" w14:textId="77777777" w:rsidR="002042AD" w:rsidRDefault="002042AD">
            <w:pPr>
              <w:snapToGrid w:val="0"/>
              <w:rPr>
                <w:sz w:val="18"/>
                <w:szCs w:val="18"/>
                <w:lang w:eastAsia="zh-CN"/>
              </w:rPr>
            </w:pPr>
            <w:r>
              <w:rPr>
                <w:sz w:val="18"/>
                <w:szCs w:val="18"/>
                <w:lang w:eastAsia="zh-CN"/>
              </w:rPr>
              <w:t xml:space="preserve">4 companies (ZTE, Qualcomm, </w:t>
            </w:r>
            <w:proofErr w:type="spellStart"/>
            <w:r>
              <w:rPr>
                <w:sz w:val="18"/>
                <w:szCs w:val="18"/>
                <w:lang w:eastAsia="zh-CN"/>
              </w:rPr>
              <w:t>Sequams</w:t>
            </w:r>
            <w:proofErr w:type="spellEnd"/>
            <w:r>
              <w:rPr>
                <w:sz w:val="18"/>
                <w:szCs w:val="18"/>
                <w:lang w:eastAsia="zh-CN"/>
              </w:rPr>
              <w:t xml:space="preserve">, MediaTek) agreed with moderator assessment. </w:t>
            </w:r>
          </w:p>
          <w:p w14:paraId="168E6AC5" w14:textId="77777777" w:rsidR="002042AD" w:rsidRDefault="002042AD">
            <w:pPr>
              <w:snapToGrid w:val="0"/>
              <w:rPr>
                <w:sz w:val="18"/>
                <w:szCs w:val="18"/>
                <w:lang w:eastAsia="zh-CN"/>
              </w:rPr>
            </w:pPr>
            <w:r>
              <w:rPr>
                <w:sz w:val="18"/>
                <w:szCs w:val="18"/>
                <w:lang w:eastAsia="zh-CN"/>
              </w:rPr>
              <w:t xml:space="preserve">Nokia, SSB commented that the issue needs to be discussed or Rel-17 cannot work. </w:t>
            </w:r>
          </w:p>
          <w:p w14:paraId="70A2D723" w14:textId="77777777" w:rsidR="002042AD" w:rsidRDefault="002042AD">
            <w:pPr>
              <w:snapToGrid w:val="0"/>
              <w:rPr>
                <w:sz w:val="18"/>
                <w:szCs w:val="18"/>
                <w:lang w:eastAsia="zh-CN"/>
              </w:rPr>
            </w:pPr>
            <w:r>
              <w:rPr>
                <w:sz w:val="18"/>
                <w:szCs w:val="18"/>
                <w:lang w:eastAsia="zh-CN"/>
              </w:rPr>
              <w:t xml:space="preserve">On Lenovo comment, moderator intention was to indicate that the current agreement was sufficient and there was no basis for the proposed CR, not that agreement was missing. </w:t>
            </w:r>
          </w:p>
          <w:p w14:paraId="3224562C" w14:textId="77777777" w:rsidR="002042AD" w:rsidRDefault="002042AD">
            <w:pPr>
              <w:snapToGrid w:val="0"/>
              <w:rPr>
                <w:sz w:val="18"/>
                <w:szCs w:val="18"/>
                <w:lang w:eastAsia="zh-CN"/>
              </w:rPr>
            </w:pPr>
          </w:p>
          <w:p w14:paraId="370AA496" w14:textId="77777777" w:rsidR="002042AD" w:rsidRDefault="002042AD">
            <w:pPr>
              <w:snapToGrid w:val="0"/>
              <w:rPr>
                <w:sz w:val="18"/>
                <w:szCs w:val="18"/>
                <w:lang w:eastAsia="zh-CN"/>
              </w:rPr>
            </w:pPr>
            <w:r>
              <w:rPr>
                <w:b/>
                <w:bCs/>
                <w:sz w:val="18"/>
                <w:szCs w:val="18"/>
                <w:lang w:eastAsia="zh-CN"/>
              </w:rPr>
              <w:t>Moderator’s view</w:t>
            </w:r>
            <w:r>
              <w:rPr>
                <w:sz w:val="18"/>
                <w:szCs w:val="18"/>
                <w:lang w:eastAsia="zh-CN"/>
              </w:rPr>
              <w:t xml:space="preserve">: as mentioned by Sequans </w:t>
            </w:r>
            <w:proofErr w:type="gramStart"/>
            <w:r>
              <w:rPr>
                <w:sz w:val="18"/>
                <w:szCs w:val="18"/>
                <w:lang w:eastAsia="zh-CN"/>
              </w:rPr>
              <w:t>on  “</w:t>
            </w:r>
            <w:proofErr w:type="gramEnd"/>
            <w:r>
              <w:rPr>
                <w:sz w:val="18"/>
                <w:szCs w:val="18"/>
                <w:lang w:eastAsia="zh-CN"/>
              </w:rPr>
              <w:t>not transmit the overlapped part”, it is up to UE implementation. This issue was discussed in previous meetings already and there was no consensus that further specification in RAN1 specs was needed.</w:t>
            </w:r>
          </w:p>
          <w:p w14:paraId="2E58D6B9" w14:textId="77777777" w:rsidR="002042AD" w:rsidRDefault="002042AD">
            <w:pPr>
              <w:snapToGrid w:val="0"/>
              <w:rPr>
                <w:sz w:val="18"/>
                <w:szCs w:val="18"/>
                <w:lang w:eastAsia="zh-CN"/>
              </w:rPr>
            </w:pPr>
          </w:p>
          <w:p w14:paraId="213254F2" w14:textId="77777777" w:rsidR="002042AD" w:rsidRDefault="002042AD">
            <w:pPr>
              <w:snapToGrid w:val="0"/>
              <w:rPr>
                <w:sz w:val="18"/>
                <w:szCs w:val="18"/>
                <w:lang w:eastAsia="zh-CN"/>
              </w:rPr>
            </w:pPr>
            <w:r>
              <w:rPr>
                <w:b/>
                <w:bCs/>
                <w:sz w:val="18"/>
                <w:szCs w:val="18"/>
                <w:lang w:eastAsia="zh-CN"/>
              </w:rPr>
              <w:t>Moderator recommendation</w:t>
            </w:r>
            <w:r>
              <w:rPr>
                <w:sz w:val="18"/>
                <w:szCs w:val="18"/>
                <w:lang w:eastAsia="zh-CN"/>
              </w:rPr>
              <w:t>: Following the majority view, it is recommended not to discuss this issue in this meeting.</w:t>
            </w:r>
          </w:p>
          <w:p w14:paraId="22F1844F" w14:textId="77777777" w:rsidR="002042AD" w:rsidRDefault="002042AD">
            <w:pPr>
              <w:snapToGrid w:val="0"/>
              <w:rPr>
                <w:rFonts w:eastAsia="DengXian"/>
                <w:b/>
                <w:bCs/>
                <w:caps/>
                <w:sz w:val="18"/>
                <w:szCs w:val="18"/>
                <w:lang w:eastAsia="zh-CN"/>
              </w:rPr>
            </w:pPr>
          </w:p>
          <w:p w14:paraId="266D8D9D" w14:textId="77777777" w:rsidR="002042AD" w:rsidRDefault="002042AD">
            <w:pPr>
              <w:snapToGrid w:val="0"/>
              <w:rPr>
                <w:rFonts w:eastAsia="DengXian"/>
                <w:b/>
                <w:bCs/>
                <w:caps/>
                <w:sz w:val="18"/>
                <w:szCs w:val="18"/>
                <w:lang w:eastAsia="zh-CN"/>
              </w:rPr>
            </w:pPr>
          </w:p>
        </w:tc>
      </w:tr>
      <w:tr w:rsidR="002042AD" w14:paraId="7D5FB9C6"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19300CAF" w14:textId="77777777" w:rsidR="002042AD" w:rsidRDefault="002042AD">
            <w:pPr>
              <w:snapToGrid w:val="0"/>
              <w:rPr>
                <w:sz w:val="18"/>
                <w:szCs w:val="18"/>
              </w:rPr>
            </w:pPr>
            <w:r>
              <w:rPr>
                <w:sz w:val="18"/>
                <w:szCs w:val="18"/>
              </w:rPr>
              <w:t>1-3</w:t>
            </w:r>
          </w:p>
        </w:tc>
        <w:tc>
          <w:tcPr>
            <w:tcW w:w="2846" w:type="pct"/>
            <w:tcBorders>
              <w:top w:val="single" w:sz="4" w:space="0" w:color="auto"/>
              <w:left w:val="single" w:sz="4" w:space="0" w:color="auto"/>
              <w:bottom w:val="single" w:sz="4" w:space="0" w:color="auto"/>
              <w:right w:val="single" w:sz="4" w:space="0" w:color="auto"/>
            </w:tcBorders>
          </w:tcPr>
          <w:p w14:paraId="6363643F" w14:textId="77777777" w:rsidR="002042AD" w:rsidRDefault="002042AD">
            <w:pPr>
              <w:snapToGrid w:val="0"/>
              <w:rPr>
                <w:rFonts w:eastAsia="DengXian"/>
                <w:color w:val="0070C0"/>
                <w:sz w:val="18"/>
                <w:szCs w:val="18"/>
                <w:lang w:eastAsia="zh-CN"/>
              </w:rPr>
            </w:pPr>
            <w:r>
              <w:rPr>
                <w:rFonts w:eastAsia="DengXian"/>
                <w:color w:val="0070C0"/>
                <w:sz w:val="18"/>
                <w:szCs w:val="18"/>
                <w:lang w:eastAsia="zh-CN"/>
              </w:rPr>
              <w:t xml:space="preserve">Clarify that segmented uplink transmission gap is only applied when the timing advance of the next segment is longer than the previous, transmitted segment. </w:t>
            </w:r>
          </w:p>
          <w:p w14:paraId="7709BA72" w14:textId="77777777" w:rsidR="002042AD" w:rsidRDefault="002042AD">
            <w:pPr>
              <w:rPr>
                <w:sz w:val="18"/>
              </w:rPr>
            </w:pPr>
          </w:p>
          <w:p w14:paraId="4B42A764" w14:textId="77777777" w:rsidR="002042AD" w:rsidRDefault="002042AD">
            <w:pPr>
              <w:rPr>
                <w:sz w:val="18"/>
              </w:rPr>
            </w:pPr>
            <w:r>
              <w:rPr>
                <w:sz w:val="18"/>
              </w:rPr>
              <w:t xml:space="preserve">To the moderator understanding there is no RAN1 agreement for the proposed text revision and the current specification is sufficient. </w:t>
            </w:r>
          </w:p>
          <w:p w14:paraId="571C8A75" w14:textId="77777777" w:rsidR="002042AD" w:rsidRDefault="002042AD">
            <w:pPr>
              <w:rPr>
                <w:sz w:val="18"/>
              </w:rPr>
            </w:pPr>
            <w:r>
              <w:rPr>
                <w:noProof/>
                <w:sz w:val="18"/>
              </w:rPr>
              <w:t xml:space="preserve">“a transmission gap of </w:t>
            </w:r>
            <m:oMath>
              <m:sSubSup>
                <m:sSubSupPr>
                  <m:ctrlPr>
                    <w:rPr>
                      <w:rFonts w:ascii="Cambria Math" w:hAnsi="Cambria Math"/>
                      <w:i/>
                      <w:noProof/>
                    </w:rPr>
                  </m:ctrlPr>
                </m:sSubSupPr>
                <m:e>
                  <m:r>
                    <w:rPr>
                      <w:rFonts w:ascii="Cambria Math" w:hAnsi="Cambria Math"/>
                      <w:noProof/>
                      <w:sz w:val="18"/>
                    </w:rPr>
                    <m:t>N</m:t>
                  </m:r>
                </m:e>
                <m:sub>
                  <m:r>
                    <m:rPr>
                      <m:nor/>
                    </m:rPr>
                    <w:rPr>
                      <w:noProof/>
                      <w:sz w:val="18"/>
                    </w:rPr>
                    <m:t>gap</m:t>
                  </m:r>
                </m:sub>
                <m:sup>
                  <m:r>
                    <m:rPr>
                      <m:nor/>
                    </m:rPr>
                    <w:rPr>
                      <w:noProof/>
                      <w:sz w:val="18"/>
                    </w:rPr>
                    <m:t>precompensation</m:t>
                  </m:r>
                </m:sup>
              </m:sSubSup>
            </m:oMath>
            <w:r>
              <w:rPr>
                <w:noProof/>
                <w:sz w:val="18"/>
              </w:rPr>
              <w:t xml:space="preserve"> time units shall be counted for the PUSCH resource mapping but not used for transmission of the PUSCH </w:t>
            </w:r>
            <w:r>
              <w:rPr>
                <w:noProof/>
                <w:color w:val="FF0000"/>
                <w:sz w:val="18"/>
              </w:rPr>
              <w:t>of the next segment, if the timing advance of the next segment is longer than the timing advance of the transmitted segment</w:t>
            </w:r>
            <w:r>
              <w:rPr>
                <w:noProof/>
                <w:sz w:val="18"/>
              </w:rPr>
              <w:t>,”.</w:t>
            </w:r>
          </w:p>
          <w:p w14:paraId="7CF89041" w14:textId="77777777" w:rsidR="002042AD" w:rsidRDefault="002042AD">
            <w:pPr>
              <w:snapToGrid w:val="0"/>
              <w:rPr>
                <w:rFonts w:eastAsia="DengXian"/>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66C30113" w14:textId="77777777" w:rsidR="002042AD" w:rsidRDefault="002042AD">
            <w:pPr>
              <w:rPr>
                <w:sz w:val="18"/>
                <w:szCs w:val="18"/>
              </w:rPr>
            </w:pPr>
            <w:r>
              <w:rPr>
                <w:sz w:val="18"/>
                <w:szCs w:val="18"/>
              </w:rPr>
              <w:t xml:space="preserve">3 </w:t>
            </w:r>
            <w:proofErr w:type="gramStart"/>
            <w:r>
              <w:rPr>
                <w:sz w:val="18"/>
                <w:szCs w:val="18"/>
              </w:rPr>
              <w:t>companies(</w:t>
            </w:r>
            <w:proofErr w:type="gramEnd"/>
            <w:r>
              <w:rPr>
                <w:b/>
                <w:bCs/>
                <w:sz w:val="18"/>
                <w:szCs w:val="18"/>
              </w:rPr>
              <w:t>ZTE, QUALCOMM, MediaTek</w:t>
            </w:r>
            <w:r>
              <w:rPr>
                <w:sz w:val="18"/>
                <w:szCs w:val="18"/>
              </w:rPr>
              <w:t xml:space="preserve">)  agreed with the moderator assessment. </w:t>
            </w:r>
            <w:r>
              <w:rPr>
                <w:b/>
                <w:bCs/>
                <w:sz w:val="18"/>
                <w:szCs w:val="18"/>
              </w:rPr>
              <w:t>Nokia, NSB</w:t>
            </w:r>
            <w:r>
              <w:rPr>
                <w:sz w:val="18"/>
                <w:szCs w:val="18"/>
              </w:rPr>
              <w:t xml:space="preserve"> and </w:t>
            </w:r>
            <w:r>
              <w:rPr>
                <w:b/>
                <w:bCs/>
                <w:sz w:val="18"/>
                <w:szCs w:val="18"/>
              </w:rPr>
              <w:t>SONY</w:t>
            </w:r>
            <w:r>
              <w:rPr>
                <w:sz w:val="18"/>
                <w:szCs w:val="18"/>
              </w:rPr>
              <w:t xml:space="preserve"> want to discuss the issue </w:t>
            </w:r>
            <w:proofErr w:type="gramStart"/>
            <w:r>
              <w:rPr>
                <w:sz w:val="18"/>
                <w:szCs w:val="18"/>
              </w:rPr>
              <w:t>of  segmented</w:t>
            </w:r>
            <w:proofErr w:type="gramEnd"/>
            <w:r>
              <w:rPr>
                <w:sz w:val="18"/>
                <w:szCs w:val="18"/>
              </w:rPr>
              <w:t xml:space="preserve"> uplink transmission gap is only applied when the timing advance of the next segment is longer than the previous, transmitted segment. </w:t>
            </w:r>
          </w:p>
          <w:p w14:paraId="620D32A8" w14:textId="77777777" w:rsidR="002042AD" w:rsidRDefault="002042AD">
            <w:pPr>
              <w:rPr>
                <w:sz w:val="18"/>
                <w:szCs w:val="18"/>
              </w:rPr>
            </w:pPr>
          </w:p>
          <w:p w14:paraId="2F5D416E" w14:textId="77777777" w:rsidR="002042AD" w:rsidRDefault="002042AD">
            <w:pPr>
              <w:rPr>
                <w:sz w:val="18"/>
                <w:szCs w:val="18"/>
              </w:rPr>
            </w:pPr>
            <w:r>
              <w:rPr>
                <w:b/>
                <w:bCs/>
                <w:sz w:val="18"/>
                <w:szCs w:val="18"/>
              </w:rPr>
              <w:t>Moderator’s view</w:t>
            </w:r>
            <w:r>
              <w:rPr>
                <w:sz w:val="18"/>
                <w:szCs w:val="18"/>
              </w:rPr>
              <w:t>: this issue was already discussed in previous meeting without consensus to capture UE behaviour in RAN1 specifications. It can be left to the UE implementation.</w:t>
            </w:r>
          </w:p>
          <w:p w14:paraId="27A3F01B" w14:textId="77777777" w:rsidR="002042AD" w:rsidRDefault="002042AD">
            <w:pPr>
              <w:rPr>
                <w:sz w:val="18"/>
                <w:szCs w:val="18"/>
              </w:rPr>
            </w:pPr>
          </w:p>
          <w:p w14:paraId="573EF8CD" w14:textId="77777777" w:rsidR="002042AD" w:rsidRDefault="002042AD">
            <w:pPr>
              <w:rPr>
                <w:b/>
                <w:bCs/>
                <w:color w:val="000000" w:themeColor="text1"/>
              </w:rPr>
            </w:pPr>
            <w:r>
              <w:rPr>
                <w:b/>
                <w:bCs/>
                <w:color w:val="000000" w:themeColor="text1"/>
                <w:sz w:val="18"/>
                <w:szCs w:val="18"/>
              </w:rPr>
              <w:t xml:space="preserve">Moderator recommendation: </w:t>
            </w:r>
            <w:r>
              <w:rPr>
                <w:color w:val="000000" w:themeColor="text1"/>
                <w:sz w:val="18"/>
                <w:szCs w:val="18"/>
              </w:rPr>
              <w:t>Following the majority view, it is recommended not to discuss this issue in this meeting.</w:t>
            </w:r>
          </w:p>
          <w:p w14:paraId="25DBA4C5" w14:textId="77777777" w:rsidR="002042AD" w:rsidRDefault="002042AD">
            <w:pPr>
              <w:snapToGrid w:val="0"/>
              <w:rPr>
                <w:rFonts w:eastAsia="DengXian"/>
                <w:caps/>
                <w:sz w:val="18"/>
                <w:szCs w:val="18"/>
                <w:lang w:eastAsia="zh-CN"/>
              </w:rPr>
            </w:pPr>
          </w:p>
          <w:p w14:paraId="764CDA4D" w14:textId="77777777" w:rsidR="002042AD" w:rsidRDefault="002042AD">
            <w:pPr>
              <w:snapToGrid w:val="0"/>
              <w:rPr>
                <w:rFonts w:eastAsia="DengXian"/>
                <w:caps/>
                <w:sz w:val="18"/>
                <w:szCs w:val="18"/>
                <w:lang w:eastAsia="zh-CN"/>
              </w:rPr>
            </w:pPr>
          </w:p>
        </w:tc>
      </w:tr>
      <w:tr w:rsidR="002042AD" w14:paraId="634CF8C0"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5C66E03B" w14:textId="77777777" w:rsidR="002042AD" w:rsidRDefault="002042AD">
            <w:pPr>
              <w:snapToGrid w:val="0"/>
              <w:rPr>
                <w:sz w:val="18"/>
                <w:szCs w:val="18"/>
              </w:rPr>
            </w:pPr>
            <w:r>
              <w:rPr>
                <w:sz w:val="18"/>
                <w:szCs w:val="18"/>
              </w:rPr>
              <w:lastRenderedPageBreak/>
              <w:t>1-4</w:t>
            </w:r>
          </w:p>
        </w:tc>
        <w:tc>
          <w:tcPr>
            <w:tcW w:w="2846" w:type="pct"/>
            <w:tcBorders>
              <w:top w:val="single" w:sz="4" w:space="0" w:color="auto"/>
              <w:left w:val="single" w:sz="4" w:space="0" w:color="auto"/>
              <w:bottom w:val="single" w:sz="4" w:space="0" w:color="auto"/>
              <w:right w:val="single" w:sz="4" w:space="0" w:color="auto"/>
            </w:tcBorders>
          </w:tcPr>
          <w:p w14:paraId="71B528A6" w14:textId="77777777" w:rsidR="002042AD" w:rsidRDefault="002042AD">
            <w:pPr>
              <w:snapToGrid w:val="0"/>
              <w:rPr>
                <w:rFonts w:eastAsia="DengXian"/>
                <w:color w:val="0070C0"/>
                <w:sz w:val="18"/>
                <w:szCs w:val="18"/>
                <w:lang w:eastAsia="zh-CN"/>
              </w:rPr>
            </w:pPr>
            <w:r>
              <w:rPr>
                <w:rFonts w:eastAsia="DengXian"/>
                <w:color w:val="0070C0"/>
                <w:sz w:val="18"/>
                <w:szCs w:val="18"/>
                <w:lang w:eastAsia="zh-CN"/>
              </w:rPr>
              <w:t xml:space="preserve">NTN SIB </w:t>
            </w:r>
            <w:proofErr w:type="spellStart"/>
            <w:r>
              <w:rPr>
                <w:rFonts w:eastAsia="DengXian"/>
                <w:color w:val="0070C0"/>
                <w:sz w:val="18"/>
                <w:szCs w:val="18"/>
                <w:lang w:eastAsia="zh-CN"/>
              </w:rPr>
              <w:t>Accummulation</w:t>
            </w:r>
            <w:proofErr w:type="spellEnd"/>
          </w:p>
          <w:p w14:paraId="4DE553C0" w14:textId="77777777" w:rsidR="002042AD" w:rsidRDefault="002042AD">
            <w:pPr>
              <w:snapToGrid w:val="0"/>
              <w:rPr>
                <w:rFonts w:eastAsia="DengXian"/>
                <w:color w:val="000000" w:themeColor="text1"/>
                <w:sz w:val="18"/>
                <w:szCs w:val="18"/>
                <w:lang w:eastAsia="zh-CN"/>
              </w:rPr>
            </w:pPr>
            <w:r>
              <w:rPr>
                <w:rFonts w:eastAsia="DengXian"/>
                <w:color w:val="000000" w:themeColor="text1"/>
                <w:sz w:val="18"/>
                <w:szCs w:val="18"/>
                <w:lang w:eastAsia="zh-CN"/>
              </w:rPr>
              <w:t>Ericsson proposed the following:</w:t>
            </w:r>
          </w:p>
          <w:p w14:paraId="71CAD8DE"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Network to optionally indicate if NTN SIB accumulation across SI windows is allowed or not.</w:t>
            </w:r>
          </w:p>
          <w:p w14:paraId="0DEEC0FA"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For eMTC NTN with explicit epoch time indication, without introducing additional signalling, support NTN SIB accumulation at least for the following SI periodicities: {8, 16, 32, 64,128} frames</w:t>
            </w:r>
          </w:p>
          <w:p w14:paraId="1B6DE1E8"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For NB-IoT NTN with explicit epoch time indication, without introducing additional signalling, support NTN SIB accumulation at least for the following SI periodicities: {64,128} frames.</w:t>
            </w:r>
          </w:p>
          <w:p w14:paraId="618045C4"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explicit epoch time indication, introducing additional signalling can help extend the SIB accumulation to even larger SI periodicities and/or optimize the UE </w:t>
            </w:r>
            <w:proofErr w:type="spellStart"/>
            <w:r>
              <w:rPr>
                <w:rFonts w:eastAsia="DengXian"/>
                <w:color w:val="000000" w:themeColor="text1"/>
                <w:sz w:val="18"/>
                <w:szCs w:val="18"/>
                <w:lang w:eastAsia="zh-CN"/>
              </w:rPr>
              <w:t>behavior</w:t>
            </w:r>
            <w:proofErr w:type="spellEnd"/>
            <w:r>
              <w:rPr>
                <w:rFonts w:eastAsia="DengXian"/>
                <w:color w:val="000000" w:themeColor="text1"/>
                <w:sz w:val="18"/>
                <w:szCs w:val="18"/>
                <w:lang w:eastAsia="zh-CN"/>
              </w:rPr>
              <w:t xml:space="preserve"> regarding SIB accumulation</w:t>
            </w:r>
          </w:p>
          <w:p w14:paraId="11014ACB"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For IoT NTN, adopt the same definition for validity of assistance information as for NR NTN.</w:t>
            </w:r>
          </w:p>
          <w:p w14:paraId="799F185F" w14:textId="77777777" w:rsidR="002042AD" w:rsidRDefault="002042AD">
            <w:pPr>
              <w:snapToGrid w:val="0"/>
              <w:rPr>
                <w:rFonts w:eastAsia="DengXian"/>
                <w:color w:val="000000" w:themeColor="text1"/>
                <w:sz w:val="18"/>
                <w:szCs w:val="18"/>
                <w:lang w:eastAsia="zh-CN"/>
              </w:rPr>
            </w:pPr>
          </w:p>
          <w:p w14:paraId="6776F16A" w14:textId="77777777" w:rsidR="002042AD" w:rsidRDefault="002042AD">
            <w:pPr>
              <w:snapToGrid w:val="0"/>
              <w:rPr>
                <w:rFonts w:eastAsia="DengXian"/>
                <w:color w:val="000000" w:themeColor="text1"/>
                <w:sz w:val="18"/>
                <w:szCs w:val="18"/>
                <w:lang w:eastAsia="zh-CN"/>
              </w:rPr>
            </w:pPr>
            <w:r>
              <w:rPr>
                <w:rFonts w:eastAsia="DengXian"/>
                <w:color w:val="000000" w:themeColor="text1"/>
                <w:sz w:val="18"/>
                <w:szCs w:val="18"/>
                <w:lang w:eastAsia="zh-CN"/>
              </w:rPr>
              <w:t>Nokia proposed in R1-</w:t>
            </w:r>
            <w:proofErr w:type="gramStart"/>
            <w:r>
              <w:rPr>
                <w:rFonts w:eastAsia="DengXian"/>
                <w:color w:val="000000" w:themeColor="text1"/>
                <w:sz w:val="18"/>
                <w:szCs w:val="18"/>
                <w:lang w:eastAsia="zh-CN"/>
              </w:rPr>
              <w:t>2209244  Only</w:t>
            </w:r>
            <w:proofErr w:type="gramEnd"/>
            <w:r>
              <w:rPr>
                <w:rFonts w:eastAsia="DengXian"/>
                <w:color w:val="000000" w:themeColor="text1"/>
                <w:sz w:val="18"/>
                <w:szCs w:val="18"/>
                <w:lang w:eastAsia="zh-CN"/>
              </w:rPr>
              <w:t xml:space="preserve"> explicit </w:t>
            </w:r>
            <w:proofErr w:type="spellStart"/>
            <w:r>
              <w:rPr>
                <w:rFonts w:eastAsia="DengXian"/>
                <w:color w:val="000000" w:themeColor="text1"/>
                <w:sz w:val="18"/>
                <w:szCs w:val="18"/>
                <w:lang w:eastAsia="zh-CN"/>
              </w:rPr>
              <w:t>signaling</w:t>
            </w:r>
            <w:proofErr w:type="spellEnd"/>
            <w:r>
              <w:rPr>
                <w:rFonts w:eastAsia="DengXian"/>
                <w:color w:val="000000" w:themeColor="text1"/>
                <w:sz w:val="18"/>
                <w:szCs w:val="18"/>
                <w:lang w:eastAsia="zh-CN"/>
              </w:rPr>
              <w:t xml:space="preserve"> of Epoch time for assistance information shall be specified for IoT NTN and RAN1 send LS to RAN2 to update SIB31 description in RRC specification to make the </w:t>
            </w:r>
            <w:proofErr w:type="spellStart"/>
            <w:r>
              <w:rPr>
                <w:rFonts w:eastAsia="DengXian"/>
                <w:color w:val="000000" w:themeColor="text1"/>
                <w:sz w:val="18"/>
                <w:szCs w:val="18"/>
                <w:lang w:eastAsia="zh-CN"/>
              </w:rPr>
              <w:t>epochTime</w:t>
            </w:r>
            <w:proofErr w:type="spellEnd"/>
            <w:r>
              <w:rPr>
                <w:rFonts w:eastAsia="DengXian"/>
                <w:color w:val="000000" w:themeColor="text1"/>
                <w:sz w:val="18"/>
                <w:szCs w:val="18"/>
                <w:lang w:eastAsia="zh-CN"/>
              </w:rPr>
              <w:t xml:space="preserve"> a mandatory field.</w:t>
            </w:r>
          </w:p>
          <w:p w14:paraId="591867EB" w14:textId="77777777" w:rsidR="002042AD" w:rsidRDefault="002042AD">
            <w:pPr>
              <w:snapToGrid w:val="0"/>
              <w:rPr>
                <w:rFonts w:eastAsia="DengXian"/>
                <w:color w:val="000000" w:themeColor="text1"/>
                <w:sz w:val="18"/>
                <w:szCs w:val="18"/>
                <w:lang w:eastAsia="zh-CN"/>
              </w:rPr>
            </w:pPr>
          </w:p>
          <w:p w14:paraId="1857783E" w14:textId="77777777" w:rsidR="002042AD" w:rsidRDefault="002042AD">
            <w:pPr>
              <w:snapToGrid w:val="0"/>
              <w:rPr>
                <w:rFonts w:eastAsia="DengXian"/>
                <w:color w:val="000000" w:themeColor="text1"/>
                <w:sz w:val="18"/>
                <w:szCs w:val="18"/>
                <w:lang w:eastAsia="zh-CN"/>
              </w:rPr>
            </w:pPr>
            <w:r>
              <w:rPr>
                <w:rFonts w:eastAsia="DengXian"/>
                <w:color w:val="000000" w:themeColor="text1"/>
                <w:sz w:val="18"/>
                <w:szCs w:val="18"/>
                <w:lang w:eastAsia="zh-CN"/>
              </w:rPr>
              <w:t>As was discussed and captured in FL summary in RAN1#110 and summarised above, RAN2 has specified signalling for implicit Epoch time. This implies that SIB accumulation is not supported in Rel-17 since updating to serving cell ephemeris information does not affect the system information value. When epoch time is not explicitly indicated, the UE uses the starting time of the DL subframe corresponding to the end of the SI window during which the SI message carrying SIB31 is transmitted.  SIB accumulation across SI windows is new functionality. There was no consensus in RAN1 that it is essential to specify SIB accumulation. It is not essential to specify SIB accumulation across SI windows.</w:t>
            </w:r>
          </w:p>
          <w:p w14:paraId="6EAC9C24" w14:textId="77777777" w:rsidR="002042AD" w:rsidRDefault="002042AD">
            <w:pPr>
              <w:snapToGrid w:val="0"/>
              <w:rPr>
                <w:rFonts w:eastAsia="DengXian"/>
                <w:color w:val="000000" w:themeColor="text1"/>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6EEF0511" w14:textId="77777777" w:rsidR="002042AD" w:rsidRDefault="002042AD">
            <w:pPr>
              <w:snapToGrid w:val="0"/>
              <w:rPr>
                <w:sz w:val="18"/>
                <w:szCs w:val="18"/>
                <w:lang w:eastAsia="zh-CN"/>
              </w:rPr>
            </w:pPr>
            <w:r>
              <w:rPr>
                <w:sz w:val="18"/>
                <w:szCs w:val="18"/>
                <w:lang w:eastAsia="zh-CN"/>
              </w:rPr>
              <w:t xml:space="preserve">2 companies (Qualcomm, MediaTek) agree with moderator assessment, 2 companies (ZTE. </w:t>
            </w:r>
            <w:proofErr w:type="spellStart"/>
            <w:r>
              <w:rPr>
                <w:sz w:val="18"/>
                <w:szCs w:val="18"/>
                <w:lang w:eastAsia="zh-CN"/>
              </w:rPr>
              <w:t>Sequams</w:t>
            </w:r>
            <w:proofErr w:type="spellEnd"/>
            <w:r>
              <w:rPr>
                <w:sz w:val="18"/>
                <w:szCs w:val="18"/>
                <w:lang w:eastAsia="zh-CN"/>
              </w:rPr>
              <w:t xml:space="preserve">) are open to discuss the issue, 1 company want to remove implicit </w:t>
            </w:r>
            <w:proofErr w:type="spellStart"/>
            <w:r>
              <w:rPr>
                <w:sz w:val="18"/>
                <w:szCs w:val="18"/>
                <w:lang w:eastAsia="zh-CN"/>
              </w:rPr>
              <w:t>signaling</w:t>
            </w:r>
            <w:proofErr w:type="spellEnd"/>
            <w:r>
              <w:rPr>
                <w:sz w:val="18"/>
                <w:szCs w:val="18"/>
                <w:lang w:eastAsia="zh-CN"/>
              </w:rPr>
              <w:t xml:space="preserve"> from IoT NTN (this means no SIB accumulation for implicit signalling), 2 companies want to discuss SIB accumulation. </w:t>
            </w:r>
          </w:p>
          <w:p w14:paraId="62A23DE8" w14:textId="77777777" w:rsidR="002042AD" w:rsidRDefault="002042AD">
            <w:pPr>
              <w:snapToGrid w:val="0"/>
              <w:rPr>
                <w:sz w:val="18"/>
                <w:szCs w:val="18"/>
                <w:lang w:eastAsia="zh-CN"/>
              </w:rPr>
            </w:pPr>
          </w:p>
          <w:p w14:paraId="052DDA4E" w14:textId="77777777" w:rsidR="002042AD" w:rsidRDefault="002042AD">
            <w:pPr>
              <w:snapToGrid w:val="0"/>
              <w:rPr>
                <w:sz w:val="18"/>
                <w:szCs w:val="18"/>
                <w:lang w:eastAsia="zh-CN"/>
              </w:rPr>
            </w:pPr>
            <w:r>
              <w:rPr>
                <w:b/>
                <w:bCs/>
                <w:sz w:val="18"/>
                <w:szCs w:val="18"/>
                <w:lang w:eastAsia="zh-CN"/>
              </w:rPr>
              <w:t>Moderator’s view</w:t>
            </w:r>
            <w:r>
              <w:rPr>
                <w:sz w:val="18"/>
                <w:szCs w:val="18"/>
                <w:lang w:eastAsia="zh-CN"/>
              </w:rPr>
              <w:t xml:space="preserve">: This issue has been discussed in 2 previous meetings, and is not seen as essential. Implicit signalling is optional in the network and RAN2 has specified solution in Rel-17 for implicit signalling. Hence, network can choose not to configure it. SI Window parameters can be configured to make implicit signalling workable. This topic was extensively discussed in RAN1#110 without consensus. However, it was discussed in online session that this issue could be revisited in RAN1#110-bis. </w:t>
            </w:r>
          </w:p>
          <w:p w14:paraId="4B1CA0D3" w14:textId="77777777" w:rsidR="002042AD" w:rsidRDefault="002042AD">
            <w:pPr>
              <w:snapToGrid w:val="0"/>
              <w:rPr>
                <w:sz w:val="18"/>
                <w:szCs w:val="18"/>
                <w:lang w:eastAsia="zh-CN"/>
              </w:rPr>
            </w:pPr>
          </w:p>
          <w:p w14:paraId="2452AB3A" w14:textId="77777777" w:rsidR="002042AD" w:rsidRDefault="002042AD">
            <w:pPr>
              <w:snapToGrid w:val="0"/>
              <w:rPr>
                <w:color w:val="000000" w:themeColor="text1"/>
                <w:sz w:val="18"/>
                <w:szCs w:val="18"/>
                <w:lang w:eastAsia="zh-CN"/>
              </w:rPr>
            </w:pPr>
            <w:r>
              <w:rPr>
                <w:b/>
                <w:bCs/>
                <w:color w:val="000000" w:themeColor="text1"/>
                <w:sz w:val="18"/>
                <w:szCs w:val="18"/>
                <w:lang w:eastAsia="zh-CN"/>
              </w:rPr>
              <w:t xml:space="preserve">Moderator recommendation: </w:t>
            </w:r>
            <w:r>
              <w:rPr>
                <w:color w:val="000000" w:themeColor="text1"/>
                <w:sz w:val="18"/>
                <w:szCs w:val="18"/>
                <w:lang w:eastAsia="zh-CN"/>
              </w:rPr>
              <w:t>Discuss this issue over email in RAN1#110bis-e</w:t>
            </w:r>
          </w:p>
          <w:p w14:paraId="127F8B1E" w14:textId="77777777" w:rsidR="002042AD" w:rsidRDefault="002042AD">
            <w:pPr>
              <w:snapToGrid w:val="0"/>
              <w:rPr>
                <w:rFonts w:eastAsia="DengXian"/>
                <w:caps/>
                <w:sz w:val="16"/>
                <w:szCs w:val="16"/>
                <w:lang w:eastAsia="zh-CN"/>
              </w:rPr>
            </w:pPr>
          </w:p>
          <w:p w14:paraId="4208B678" w14:textId="77777777" w:rsidR="002042AD" w:rsidRDefault="002042AD">
            <w:pPr>
              <w:snapToGrid w:val="0"/>
              <w:rPr>
                <w:rFonts w:eastAsia="DengXian"/>
                <w:caps/>
                <w:sz w:val="18"/>
                <w:szCs w:val="18"/>
                <w:lang w:eastAsia="zh-CN"/>
              </w:rPr>
            </w:pPr>
          </w:p>
        </w:tc>
      </w:tr>
      <w:tr w:rsidR="002042AD" w14:paraId="097F5371"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1AEFD1D1" w14:textId="77777777" w:rsidR="002042AD" w:rsidRDefault="002042AD">
            <w:pPr>
              <w:snapToGrid w:val="0"/>
              <w:rPr>
                <w:sz w:val="18"/>
                <w:szCs w:val="18"/>
              </w:rPr>
            </w:pPr>
            <w:r>
              <w:rPr>
                <w:sz w:val="18"/>
                <w:szCs w:val="18"/>
              </w:rPr>
              <w:t>1-5</w:t>
            </w:r>
          </w:p>
        </w:tc>
        <w:tc>
          <w:tcPr>
            <w:tcW w:w="2846" w:type="pct"/>
            <w:tcBorders>
              <w:top w:val="single" w:sz="4" w:space="0" w:color="auto"/>
              <w:left w:val="single" w:sz="4" w:space="0" w:color="auto"/>
              <w:bottom w:val="single" w:sz="4" w:space="0" w:color="auto"/>
              <w:right w:val="single" w:sz="4" w:space="0" w:color="auto"/>
            </w:tcBorders>
          </w:tcPr>
          <w:p w14:paraId="7D510043" w14:textId="77777777" w:rsidR="002042AD" w:rsidRDefault="002042AD">
            <w:pPr>
              <w:rPr>
                <w:rFonts w:eastAsia="DengXian"/>
                <w:color w:val="0070C0"/>
                <w:sz w:val="18"/>
                <w:szCs w:val="18"/>
                <w:lang w:eastAsia="zh-CN"/>
              </w:rPr>
            </w:pPr>
            <w:r>
              <w:rPr>
                <w:rFonts w:eastAsia="DengXian"/>
                <w:color w:val="0070C0"/>
                <w:sz w:val="18"/>
                <w:szCs w:val="18"/>
                <w:lang w:eastAsia="zh-CN"/>
              </w:rPr>
              <w:t>Processing time for downlink reception</w:t>
            </w:r>
          </w:p>
          <w:p w14:paraId="2783F32B" w14:textId="77777777" w:rsidR="002042AD" w:rsidRDefault="002042AD">
            <w:pPr>
              <w:rPr>
                <w:rFonts w:eastAsia="DengXian"/>
                <w:color w:val="000000" w:themeColor="text1"/>
                <w:sz w:val="18"/>
                <w:szCs w:val="18"/>
                <w:lang w:eastAsia="zh-CN"/>
              </w:rPr>
            </w:pPr>
          </w:p>
          <w:p w14:paraId="0C147099" w14:textId="77777777" w:rsidR="002042AD" w:rsidRDefault="002042AD">
            <w:pPr>
              <w:rPr>
                <w:rFonts w:eastAsia="DengXian"/>
                <w:color w:val="000000" w:themeColor="text1"/>
                <w:sz w:val="18"/>
                <w:szCs w:val="18"/>
                <w:lang w:eastAsia="zh-CN"/>
              </w:rPr>
            </w:pPr>
            <w:r>
              <w:rPr>
                <w:rFonts w:eastAsia="DengXian"/>
                <w:color w:val="000000" w:themeColor="text1"/>
                <w:sz w:val="18"/>
                <w:szCs w:val="18"/>
                <w:lang w:eastAsia="zh-CN"/>
              </w:rPr>
              <w:t>Qualcomm raised a new issue for processing time for downlink reception. In terrestrial networks, eMTC/NB-IoT UEs typically require a certain amount of “minimum processing time” to process a downlink reception, before transmitting an associated uplink that may be triggered by the downlink reception. Examples include:</w:t>
            </w:r>
          </w:p>
          <w:p w14:paraId="07304500" w14:textId="77777777" w:rsidR="002042AD" w:rsidRDefault="002042AD">
            <w:pPr>
              <w:tabs>
                <w:tab w:val="num" w:pos="360"/>
              </w:tabs>
              <w:rPr>
                <w:rFonts w:eastAsia="DengXian"/>
                <w:color w:val="000000" w:themeColor="text1"/>
                <w:sz w:val="18"/>
                <w:szCs w:val="18"/>
                <w:lang w:eastAsia="zh-CN"/>
              </w:rPr>
            </w:pPr>
            <w:r>
              <w:rPr>
                <w:rFonts w:eastAsia="DengXian"/>
                <w:color w:val="000000" w:themeColor="text1"/>
                <w:sz w:val="18"/>
                <w:szCs w:val="18"/>
                <w:lang w:eastAsia="zh-CN"/>
              </w:rPr>
              <w:t>(N)PDSCH triggering HARQ-ACK</w:t>
            </w:r>
          </w:p>
          <w:p w14:paraId="61D3B2F1" w14:textId="77777777" w:rsidR="002042AD" w:rsidRDefault="002042AD">
            <w:pPr>
              <w:tabs>
                <w:tab w:val="num" w:pos="360"/>
              </w:tabs>
              <w:rPr>
                <w:rFonts w:eastAsia="DengXian"/>
                <w:color w:val="000000" w:themeColor="text1"/>
                <w:sz w:val="18"/>
                <w:szCs w:val="18"/>
                <w:lang w:eastAsia="zh-CN"/>
              </w:rPr>
            </w:pPr>
            <w:r>
              <w:rPr>
                <w:rFonts w:eastAsia="DengXian"/>
                <w:color w:val="000000" w:themeColor="text1"/>
                <w:sz w:val="18"/>
                <w:szCs w:val="18"/>
                <w:lang w:eastAsia="zh-CN"/>
              </w:rPr>
              <w:t>(N)PDCCH triggering (N)PUSCH</w:t>
            </w:r>
          </w:p>
          <w:p w14:paraId="1184AC42" w14:textId="77777777" w:rsidR="002042AD" w:rsidRDefault="002042AD">
            <w:pPr>
              <w:tabs>
                <w:tab w:val="num" w:pos="360"/>
              </w:tabs>
              <w:rPr>
                <w:rFonts w:eastAsia="DengXian"/>
                <w:color w:val="000000" w:themeColor="text1"/>
                <w:sz w:val="18"/>
                <w:szCs w:val="18"/>
                <w:lang w:eastAsia="zh-CN"/>
              </w:rPr>
            </w:pPr>
            <w:r>
              <w:rPr>
                <w:rFonts w:eastAsia="DengXian"/>
                <w:color w:val="000000" w:themeColor="text1"/>
                <w:sz w:val="18"/>
                <w:szCs w:val="18"/>
                <w:lang w:eastAsia="zh-CN"/>
              </w:rPr>
              <w:t>(N)PDCCH triggering PDCCH-ordered (N)PRACH</w:t>
            </w:r>
          </w:p>
          <w:p w14:paraId="29D11840" w14:textId="77777777" w:rsidR="002042AD" w:rsidRDefault="002042AD">
            <w:pPr>
              <w:rPr>
                <w:rFonts w:eastAsia="DengXian"/>
                <w:color w:val="000000" w:themeColor="text1"/>
                <w:sz w:val="18"/>
                <w:szCs w:val="18"/>
                <w:lang w:eastAsia="zh-CN"/>
              </w:rPr>
            </w:pPr>
            <w:r>
              <w:rPr>
                <w:rFonts w:eastAsia="DengXian"/>
                <w:color w:val="000000" w:themeColor="text1"/>
                <w:sz w:val="18"/>
                <w:szCs w:val="18"/>
                <w:lang w:eastAsia="zh-CN"/>
              </w:rPr>
              <w:t xml:space="preserve">The moderator understanding is that Qualcomm analysis is correct. The network is required to set Koffset larger than </w:t>
            </w:r>
            <w:proofErr w:type="gramStart"/>
            <w:r>
              <w:rPr>
                <w:rFonts w:eastAsia="DengXian"/>
                <w:color w:val="000000" w:themeColor="text1"/>
                <w:sz w:val="18"/>
                <w:szCs w:val="18"/>
                <w:lang w:eastAsia="zh-CN"/>
              </w:rPr>
              <w:t>TTA,NTN</w:t>
            </w:r>
            <w:proofErr w:type="gramEnd"/>
            <w:r>
              <w:rPr>
                <w:rFonts w:eastAsia="DengXian"/>
                <w:color w:val="000000" w:themeColor="text1"/>
                <w:sz w:val="18"/>
                <w:szCs w:val="18"/>
                <w:lang w:eastAsia="zh-CN"/>
              </w:rPr>
              <w:t xml:space="preserve"> max to ensure these conditions for processing time for downlink reception for</w:t>
            </w:r>
          </w:p>
        </w:tc>
        <w:tc>
          <w:tcPr>
            <w:tcW w:w="1805" w:type="pct"/>
            <w:tcBorders>
              <w:top w:val="single" w:sz="4" w:space="0" w:color="auto"/>
              <w:left w:val="single" w:sz="4" w:space="0" w:color="auto"/>
              <w:bottom w:val="single" w:sz="4" w:space="0" w:color="auto"/>
              <w:right w:val="single" w:sz="4" w:space="0" w:color="auto"/>
            </w:tcBorders>
          </w:tcPr>
          <w:p w14:paraId="559C1289" w14:textId="77777777" w:rsidR="002042AD" w:rsidRDefault="002042AD">
            <w:pPr>
              <w:snapToGrid w:val="0"/>
              <w:rPr>
                <w:sz w:val="18"/>
                <w:szCs w:val="18"/>
                <w:lang w:eastAsia="zh-CN"/>
              </w:rPr>
            </w:pPr>
            <w:r>
              <w:rPr>
                <w:sz w:val="18"/>
                <w:szCs w:val="18"/>
                <w:lang w:eastAsia="zh-CN"/>
              </w:rPr>
              <w:t>5 companies (OPPO, Qualcomm, SONY, Sequans, MediaTek) support moderator proposal. 2 companies (Lenovo, ZTE) do not support.</w:t>
            </w:r>
          </w:p>
          <w:p w14:paraId="5F7FEFF4" w14:textId="77777777" w:rsidR="002042AD" w:rsidRDefault="002042AD">
            <w:pPr>
              <w:snapToGrid w:val="0"/>
              <w:rPr>
                <w:sz w:val="18"/>
                <w:szCs w:val="18"/>
                <w:lang w:eastAsia="zh-CN"/>
              </w:rPr>
            </w:pPr>
          </w:p>
          <w:p w14:paraId="4A2549D8" w14:textId="77777777" w:rsidR="002042AD" w:rsidRDefault="002042AD">
            <w:pPr>
              <w:snapToGrid w:val="0"/>
              <w:rPr>
                <w:sz w:val="18"/>
                <w:szCs w:val="18"/>
                <w:lang w:eastAsia="zh-CN"/>
              </w:rPr>
            </w:pPr>
            <w:r>
              <w:rPr>
                <w:b/>
                <w:bCs/>
                <w:sz w:val="18"/>
                <w:szCs w:val="18"/>
                <w:lang w:eastAsia="zh-CN"/>
              </w:rPr>
              <w:t>Moderator’s view</w:t>
            </w:r>
            <w:r>
              <w:rPr>
                <w:sz w:val="18"/>
                <w:szCs w:val="18"/>
                <w:lang w:eastAsia="zh-CN"/>
              </w:rPr>
              <w:t xml:space="preserve">: It is correct that Koffset is configured by the network. However, the moderator understanding is that this issue has potential impact on the processing time for implementation. More understanding is needed on whether restrictions are necessary. </w:t>
            </w:r>
          </w:p>
          <w:p w14:paraId="138EB405" w14:textId="77777777" w:rsidR="002042AD" w:rsidRDefault="002042AD">
            <w:pPr>
              <w:snapToGrid w:val="0"/>
              <w:rPr>
                <w:sz w:val="18"/>
                <w:szCs w:val="18"/>
                <w:lang w:eastAsia="zh-CN"/>
              </w:rPr>
            </w:pPr>
          </w:p>
          <w:p w14:paraId="649CE168" w14:textId="77777777" w:rsidR="002042AD" w:rsidRDefault="002042AD">
            <w:pPr>
              <w:snapToGrid w:val="0"/>
              <w:rPr>
                <w:sz w:val="18"/>
                <w:szCs w:val="18"/>
                <w:lang w:eastAsia="zh-CN"/>
              </w:rPr>
            </w:pPr>
            <w:r>
              <w:rPr>
                <w:b/>
                <w:bCs/>
                <w:sz w:val="18"/>
                <w:szCs w:val="18"/>
                <w:lang w:eastAsia="zh-CN"/>
              </w:rPr>
              <w:t>Moderator’s recommendation</w:t>
            </w:r>
            <w:r>
              <w:rPr>
                <w:sz w:val="18"/>
                <w:szCs w:val="18"/>
                <w:lang w:eastAsia="zh-CN"/>
              </w:rPr>
              <w:t>: Discuss this issue over email in RAN1#110bis-e</w:t>
            </w:r>
          </w:p>
          <w:p w14:paraId="71803875" w14:textId="77777777" w:rsidR="002042AD" w:rsidRDefault="002042AD">
            <w:pPr>
              <w:snapToGrid w:val="0"/>
              <w:rPr>
                <w:sz w:val="18"/>
                <w:szCs w:val="18"/>
                <w:lang w:eastAsia="zh-CN"/>
              </w:rPr>
            </w:pPr>
          </w:p>
          <w:p w14:paraId="5F02CD00" w14:textId="77777777" w:rsidR="002042AD" w:rsidRDefault="002042AD">
            <w:pPr>
              <w:snapToGrid w:val="0"/>
              <w:rPr>
                <w:rFonts w:eastAsia="DengXian"/>
                <w:caps/>
                <w:sz w:val="18"/>
                <w:szCs w:val="18"/>
                <w:lang w:eastAsia="zh-CN"/>
              </w:rPr>
            </w:pPr>
          </w:p>
        </w:tc>
      </w:tr>
    </w:tbl>
    <w:p w14:paraId="124E1519" w14:textId="77777777" w:rsidR="002042AD" w:rsidRDefault="002042AD">
      <w:pPr>
        <w:pStyle w:val="BodyText"/>
        <w:rPr>
          <w:lang w:val="en-US"/>
        </w:rPr>
      </w:pPr>
    </w:p>
    <w:p w14:paraId="60CB8BB6" w14:textId="77777777" w:rsidR="002042AD" w:rsidRDefault="002042AD">
      <w:pPr>
        <w:pStyle w:val="BodyText"/>
        <w:rPr>
          <w:lang w:val="en-US"/>
        </w:rPr>
      </w:pPr>
    </w:p>
    <w:p w14:paraId="1B24AF9D" w14:textId="77777777" w:rsidR="00A16361" w:rsidRDefault="00A16361">
      <w:pPr>
        <w:pStyle w:val="BodyText"/>
        <w:rPr>
          <w:lang w:val="en-US"/>
        </w:rPr>
      </w:pPr>
    </w:p>
    <w:p w14:paraId="6971EBA1" w14:textId="77777777" w:rsidR="00A16361" w:rsidRDefault="00A805D7">
      <w:pPr>
        <w:pStyle w:val="Heading1"/>
        <w:rPr>
          <w:lang w:val="en-US" w:eastAsia="ja-JP"/>
        </w:rPr>
      </w:pPr>
      <w:r>
        <w:rPr>
          <w:lang w:val="en-US" w:eastAsia="ja-JP"/>
        </w:rPr>
        <w:t>UL Segmented Transmission</w:t>
      </w:r>
    </w:p>
    <w:p w14:paraId="52697846" w14:textId="77777777" w:rsidR="00A16361" w:rsidRDefault="00A805D7">
      <w:pPr>
        <w:rPr>
          <w:lang w:eastAsia="ja-JP"/>
        </w:rPr>
      </w:pPr>
      <w:r>
        <w:rPr>
          <w:lang w:eastAsia="ja-JP"/>
        </w:rPr>
        <w:t>In RAN1#109-e, the following agreements were made on single UE capability and specification in TS 36.211.</w:t>
      </w:r>
    </w:p>
    <w:p w14:paraId="3337E7C7" w14:textId="77777777" w:rsidR="00A16361" w:rsidRDefault="00A805D7">
      <w:pPr>
        <w:rPr>
          <w:b/>
          <w:bCs/>
          <w:sz w:val="16"/>
          <w:szCs w:val="16"/>
          <w:lang w:val="en-US" w:eastAsia="zh-CN"/>
        </w:rPr>
      </w:pPr>
      <w:r>
        <w:rPr>
          <w:b/>
          <w:bCs/>
          <w:highlight w:val="green"/>
          <w:lang w:val="en-US" w:eastAsia="zh-CN"/>
        </w:rPr>
        <w:t>Agreement</w:t>
      </w:r>
    </w:p>
    <w:p w14:paraId="02C388AD" w14:textId="77777777" w:rsidR="00A16361" w:rsidRDefault="00A805D7">
      <w:pPr>
        <w:tabs>
          <w:tab w:val="left" w:pos="360"/>
        </w:tabs>
        <w:rPr>
          <w:rFonts w:eastAsia="SimSun"/>
          <w:lang w:val="en-US" w:eastAsia="ja-JP"/>
        </w:rPr>
      </w:pPr>
      <w:r>
        <w:rPr>
          <w:rFonts w:eastAsia="SimSun"/>
          <w:lang w:val="en-US" w:eastAsia="ja-JP"/>
        </w:rPr>
        <w:t>The single UE capability that governs UE behavior w.r.t gaps between segments for PUSCH, PUCCH and NPUSCH, when the UE performs segmented pre-compensation, is as follows:</w:t>
      </w:r>
    </w:p>
    <w:p w14:paraId="225EFDFC" w14:textId="77777777" w:rsidR="00A16361" w:rsidRDefault="00A805D7">
      <w:pPr>
        <w:tabs>
          <w:tab w:val="left" w:pos="360"/>
        </w:tabs>
        <w:rPr>
          <w:rFonts w:eastAsia="SimSun"/>
          <w:lang w:val="en-US" w:eastAsia="ja-JP"/>
        </w:rPr>
      </w:pPr>
      <w:r>
        <w:rPr>
          <w:rFonts w:eastAsia="SimSun"/>
          <w:lang w:val="en-US" w:eastAsia="ja-JP"/>
        </w:rPr>
        <w:t xml:space="preserve">When a single capability is </w:t>
      </w:r>
      <w:proofErr w:type="spellStart"/>
      <w:r>
        <w:rPr>
          <w:rFonts w:eastAsia="SimSun"/>
          <w:lang w:val="en-US" w:eastAsia="ja-JP"/>
        </w:rPr>
        <w:t>signalled</w:t>
      </w:r>
      <w:proofErr w:type="spellEnd"/>
      <w:r>
        <w:rPr>
          <w:rFonts w:eastAsia="SimSun"/>
          <w:lang w:val="en-US" w:eastAsia="ja-JP"/>
        </w:rPr>
        <w:t xml:space="preserve">: UE drops one or more of the following durations of uplink transmission between segments (indicated by the capability): </w:t>
      </w:r>
    </w:p>
    <w:p w14:paraId="31427BAD" w14:textId="77777777" w:rsidR="00A16361" w:rsidRDefault="00A805D7">
      <w:pPr>
        <w:tabs>
          <w:tab w:val="left" w:pos="360"/>
        </w:tabs>
        <w:rPr>
          <w:rFonts w:eastAsia="SimSun"/>
          <w:lang w:val="en-US" w:eastAsia="ja-JP"/>
        </w:rPr>
      </w:pPr>
      <w:r>
        <w:rPr>
          <w:rFonts w:eastAsia="SimSun"/>
          <w:lang w:val="en-US" w:eastAsia="ja-JP"/>
        </w:rPr>
        <w:t>1 slot (applicable to eMTC)</w:t>
      </w:r>
    </w:p>
    <w:p w14:paraId="5E8F5F22" w14:textId="77777777" w:rsidR="00A16361" w:rsidRDefault="00A805D7">
      <w:pPr>
        <w:tabs>
          <w:tab w:val="left" w:pos="360"/>
        </w:tabs>
        <w:rPr>
          <w:rFonts w:eastAsia="SimSun"/>
          <w:lang w:val="en-US" w:eastAsia="ja-JP"/>
        </w:rPr>
      </w:pPr>
      <w:r>
        <w:rPr>
          <w:rFonts w:eastAsia="SimSun"/>
          <w:lang w:val="en-US" w:eastAsia="ja-JP"/>
        </w:rPr>
        <w:t>1 subframe (applicable to eMTC)</w:t>
      </w:r>
    </w:p>
    <w:p w14:paraId="3D417989" w14:textId="77777777" w:rsidR="00A16361" w:rsidRDefault="00A805D7">
      <w:pPr>
        <w:tabs>
          <w:tab w:val="left" w:pos="360"/>
        </w:tabs>
        <w:rPr>
          <w:rFonts w:eastAsia="SimSun"/>
          <w:lang w:val="en-US" w:eastAsia="ja-JP"/>
        </w:rPr>
      </w:pPr>
      <w:r>
        <w:rPr>
          <w:rFonts w:eastAsia="SimSun"/>
          <w:lang w:val="en-US" w:eastAsia="ja-JP"/>
        </w:rPr>
        <w:t>1 slot (applicable to NB-IoT)</w:t>
      </w:r>
    </w:p>
    <w:p w14:paraId="13E062FA" w14:textId="77777777" w:rsidR="00A16361" w:rsidRDefault="00A805D7">
      <w:pPr>
        <w:tabs>
          <w:tab w:val="left" w:pos="360"/>
        </w:tabs>
        <w:rPr>
          <w:rFonts w:eastAsia="SimSun"/>
          <w:lang w:val="en-US" w:eastAsia="ja-JP"/>
        </w:rPr>
      </w:pPr>
      <w:r>
        <w:rPr>
          <w:rFonts w:eastAsia="SimSun"/>
          <w:lang w:val="en-US" w:eastAsia="ja-JP"/>
        </w:rPr>
        <w:t>2 slots (applicable to NB-IoT)</w:t>
      </w:r>
    </w:p>
    <w:p w14:paraId="2241BB02" w14:textId="77777777" w:rsidR="00A16361" w:rsidRDefault="00A805D7">
      <w:pPr>
        <w:tabs>
          <w:tab w:val="left" w:pos="360"/>
        </w:tabs>
        <w:rPr>
          <w:rFonts w:eastAsia="SimSun"/>
          <w:lang w:val="en-US" w:eastAsia="ja-JP"/>
        </w:rPr>
      </w:pPr>
      <w:r>
        <w:rPr>
          <w:rFonts w:eastAsia="SimSun"/>
          <w:lang w:val="en-US" w:eastAsia="ja-JP"/>
        </w:rPr>
        <w:t>1 symbol (applicable to both eMTC and NB-IoT) </w:t>
      </w:r>
    </w:p>
    <w:p w14:paraId="4EAFF951" w14:textId="77777777" w:rsidR="00A16361" w:rsidRDefault="00A805D7">
      <w:pPr>
        <w:tabs>
          <w:tab w:val="left" w:pos="360"/>
        </w:tabs>
        <w:rPr>
          <w:rFonts w:eastAsia="SimSun"/>
          <w:lang w:val="en-US" w:eastAsia="ja-JP"/>
        </w:rPr>
      </w:pPr>
      <w:r>
        <w:rPr>
          <w:rFonts w:eastAsia="SimSun"/>
          <w:lang w:val="en-US" w:eastAsia="ja-JP"/>
        </w:rPr>
        <w:t xml:space="preserve">UE follows legacy </w:t>
      </w:r>
      <w:proofErr w:type="spellStart"/>
      <w:r>
        <w:rPr>
          <w:rFonts w:eastAsia="SimSun"/>
          <w:lang w:val="en-US" w:eastAsia="ja-JP"/>
        </w:rPr>
        <w:t>behaviour</w:t>
      </w:r>
      <w:proofErr w:type="spellEnd"/>
      <w:r>
        <w:rPr>
          <w:rFonts w:eastAsia="SimSun"/>
          <w:lang w:val="en-US" w:eastAsia="ja-JP"/>
        </w:rPr>
        <w:t xml:space="preserve"> at slot boundaries due to TA adjustment</w:t>
      </w:r>
    </w:p>
    <w:p w14:paraId="4FFC7E1A" w14:textId="77777777" w:rsidR="00A16361" w:rsidRDefault="00A805D7">
      <w:pPr>
        <w:tabs>
          <w:tab w:val="left" w:pos="360"/>
        </w:tabs>
        <w:rPr>
          <w:rFonts w:eastAsia="SimSun"/>
          <w:lang w:val="en-US" w:eastAsia="ja-JP"/>
        </w:rPr>
      </w:pPr>
      <w:r>
        <w:rPr>
          <w:rFonts w:eastAsia="SimSun"/>
          <w:lang w:val="en-US" w:eastAsia="ja-JP"/>
        </w:rPr>
        <w:t xml:space="preserve">When capability is NOT </w:t>
      </w:r>
      <w:proofErr w:type="spellStart"/>
      <w:r>
        <w:rPr>
          <w:rFonts w:eastAsia="SimSun"/>
          <w:lang w:val="en-US" w:eastAsia="ja-JP"/>
        </w:rPr>
        <w:t>signalled</w:t>
      </w:r>
      <w:proofErr w:type="spellEnd"/>
      <w:r>
        <w:rPr>
          <w:rFonts w:eastAsia="SimSun"/>
          <w:lang w:val="en-US" w:eastAsia="ja-JP"/>
        </w:rPr>
        <w:t xml:space="preserve">: UE follows legacy </w:t>
      </w:r>
      <w:proofErr w:type="spellStart"/>
      <w:r>
        <w:rPr>
          <w:rFonts w:eastAsia="SimSun"/>
          <w:lang w:val="en-US" w:eastAsia="ja-JP"/>
        </w:rPr>
        <w:t>behaviour</w:t>
      </w:r>
      <w:proofErr w:type="spellEnd"/>
      <w:r>
        <w:rPr>
          <w:rFonts w:eastAsia="SimSun"/>
          <w:lang w:val="en-US" w:eastAsia="ja-JP"/>
        </w:rPr>
        <w:t xml:space="preserve"> at slot boundaries due to TA adjustment</w:t>
      </w:r>
    </w:p>
    <w:p w14:paraId="247E97F2" w14:textId="77777777" w:rsidR="00A16361" w:rsidRDefault="00A16361">
      <w:pPr>
        <w:rPr>
          <w:rFonts w:eastAsiaTheme="minorHAnsi"/>
          <w:lang w:val="en-US"/>
        </w:rPr>
      </w:pPr>
    </w:p>
    <w:p w14:paraId="1C74094B" w14:textId="77777777" w:rsidR="00A16361" w:rsidRDefault="00A16361">
      <w:pPr>
        <w:rPr>
          <w:lang w:val="en-US" w:eastAsia="ja-JP"/>
        </w:rPr>
      </w:pPr>
    </w:p>
    <w:p w14:paraId="2A9542E9" w14:textId="77777777" w:rsidR="00A16361" w:rsidRDefault="00A805D7">
      <w:pPr>
        <w:pStyle w:val="Heading2"/>
        <w:rPr>
          <w:lang w:eastAsia="zh-CN"/>
        </w:rPr>
      </w:pPr>
      <w:r>
        <w:rPr>
          <w:lang w:eastAsia="zh-CN"/>
        </w:rPr>
        <w:t>Company views</w:t>
      </w:r>
    </w:p>
    <w:p w14:paraId="3B34B51E" w14:textId="31F60379" w:rsidR="00A16361" w:rsidRDefault="00A805D7">
      <w:pPr>
        <w:rPr>
          <w:rFonts w:eastAsia="SimSun"/>
        </w:rPr>
      </w:pPr>
      <w:r w:rsidRPr="003D0737">
        <w:rPr>
          <w:u w:val="single"/>
        </w:rPr>
        <w:t xml:space="preserve">OPPO proposed draft CR </w:t>
      </w:r>
      <w:r w:rsidR="00EC2C73" w:rsidRPr="003D0737">
        <w:rPr>
          <w:u w:val="single"/>
        </w:rPr>
        <w:t>R1-2208831</w:t>
      </w:r>
      <w:r w:rsidR="00EC2C73">
        <w:t xml:space="preserve"> </w:t>
      </w:r>
      <w:r w:rsidR="00242047">
        <w:t xml:space="preserve">to TS 36.213 </w:t>
      </w:r>
      <w:r w:rsidR="00414255">
        <w:t xml:space="preserve">Section 4.2.3 and 16.1.2 </w:t>
      </w:r>
      <w:r>
        <w:t xml:space="preserve">on </w:t>
      </w:r>
      <w:r w:rsidR="00242047">
        <w:t>UL segmented transmission</w:t>
      </w:r>
      <w:r w:rsidR="003D0341">
        <w:t xml:space="preserve"> [2]</w:t>
      </w:r>
      <w:r w:rsidRPr="003D0737">
        <w:rPr>
          <w:rFonts w:eastAsia="SimSun"/>
        </w:rPr>
        <w:t>.</w:t>
      </w:r>
      <w:r>
        <w:rPr>
          <w:rFonts w:eastAsia="SimSun"/>
        </w:rPr>
        <w:t xml:space="preserve"> </w:t>
      </w:r>
    </w:p>
    <w:p w14:paraId="412D9B85"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u w:val="single"/>
          <w:lang w:eastAsia="zh-CN"/>
        </w:rPr>
        <w:t>Reason for change</w:t>
      </w:r>
      <w:r>
        <w:rPr>
          <w:rFonts w:eastAsiaTheme="minorEastAsia"/>
          <w:lang w:eastAsia="zh-CN"/>
        </w:rPr>
        <w:t>:</w:t>
      </w:r>
      <w:r>
        <w:rPr>
          <w:rFonts w:eastAsiaTheme="minorEastAsia"/>
          <w:lang w:eastAsia="zh-CN"/>
        </w:rPr>
        <w:tab/>
        <w:t>In RAN1 meeting #107e, the following agreement on UE pre-compensation in segment was made and was not reflected in the specification.</w:t>
      </w:r>
    </w:p>
    <w:p w14:paraId="0DB417AF"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highlight w:val="green"/>
          <w:lang w:eastAsia="zh-CN"/>
        </w:rPr>
        <w:t>Agreement</w:t>
      </w:r>
    </w:p>
    <w:p w14:paraId="50FD4A4C"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lang w:eastAsia="zh-CN"/>
        </w:rPr>
        <w:t xml:space="preserve">For UL Segmented transmission during RRC_CONNECTED: </w:t>
      </w:r>
    </w:p>
    <w:p w14:paraId="20182884"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lang w:eastAsia="zh-CN"/>
        </w:rPr>
        <w:t>•</w:t>
      </w:r>
      <w:r>
        <w:rPr>
          <w:rFonts w:eastAsiaTheme="minorEastAsia"/>
          <w:lang w:eastAsia="zh-CN"/>
        </w:rPr>
        <w:tab/>
        <w:t xml:space="preserve">If a segment duration is configured, the UE is expected to adjust the value for pre-compensation for a </w:t>
      </w:r>
      <w:proofErr w:type="gramStart"/>
      <w:r>
        <w:rPr>
          <w:rFonts w:eastAsiaTheme="minorEastAsia"/>
          <w:lang w:eastAsia="zh-CN"/>
        </w:rPr>
        <w:t>segment.  .</w:t>
      </w:r>
      <w:proofErr w:type="gramEnd"/>
    </w:p>
    <w:p w14:paraId="59D720CD"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u w:val="single"/>
          <w:lang w:eastAsia="zh-CN"/>
        </w:rPr>
        <w:t>Summary of change</w:t>
      </w:r>
      <w:r>
        <w:rPr>
          <w:rFonts w:eastAsiaTheme="minorEastAsia"/>
          <w:lang w:eastAsia="zh-CN"/>
        </w:rPr>
        <w:t>:</w:t>
      </w:r>
      <w:r>
        <w:rPr>
          <w:rFonts w:eastAsiaTheme="minorEastAsia"/>
          <w:lang w:eastAsia="zh-CN"/>
        </w:rPr>
        <w:tab/>
        <w:t>Reflect the missing agreement on UE pre-compensation in segment.</w:t>
      </w:r>
    </w:p>
    <w:p w14:paraId="2D1231F0"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u w:val="single"/>
          <w:lang w:eastAsia="zh-CN"/>
        </w:rPr>
        <w:t>Consequences if not approved</w:t>
      </w:r>
      <w:r>
        <w:rPr>
          <w:rFonts w:eastAsiaTheme="minorEastAsia"/>
          <w:lang w:eastAsia="zh-CN"/>
        </w:rPr>
        <w:t>:</w:t>
      </w:r>
      <w:r>
        <w:rPr>
          <w:rFonts w:eastAsiaTheme="minorEastAsia"/>
          <w:lang w:eastAsia="zh-CN"/>
        </w:rPr>
        <w:tab/>
        <w:t>Incomplete specification.</w:t>
      </w:r>
    </w:p>
    <w:p w14:paraId="67B3F16D" w14:textId="77777777" w:rsidR="00A16361" w:rsidRDefault="00A16361">
      <w:pPr>
        <w:pStyle w:val="BodyText"/>
      </w:pPr>
    </w:p>
    <w:p w14:paraId="714DEF37" w14:textId="22CAD0BA" w:rsidR="00A16361" w:rsidRDefault="00A805D7">
      <w:r w:rsidRPr="003D0737">
        <w:rPr>
          <w:u w:val="single"/>
        </w:rPr>
        <w:t xml:space="preserve">Nokia proposed draft CR#2 </w:t>
      </w:r>
      <w:r w:rsidR="00EC2C73" w:rsidRPr="003D0737">
        <w:rPr>
          <w:u w:val="single"/>
        </w:rPr>
        <w:t>R1-2209243</w:t>
      </w:r>
      <w:r w:rsidR="00EC2C73">
        <w:t xml:space="preserve"> </w:t>
      </w:r>
      <w:r>
        <w:t xml:space="preserve">to </w:t>
      </w:r>
      <w:r w:rsidR="00414255">
        <w:t xml:space="preserve">TS 36.213 Section 4.2.3 and 16.1.2 </w:t>
      </w:r>
      <w:r>
        <w:t xml:space="preserve">on </w:t>
      </w:r>
      <w:r w:rsidR="00595AF9">
        <w:rPr>
          <w:noProof/>
        </w:rPr>
        <w:t xml:space="preserve">clarify source of </w:t>
      </w:r>
      <w:r w:rsidR="00595AF9">
        <w:rPr>
          <w:bCs/>
        </w:rPr>
        <w:t xml:space="preserve">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00595AF9">
        <w:rPr>
          <w:lang w:eastAsia="ko-KR"/>
        </w:rPr>
        <w:t xml:space="preserve"> in higher layer configuration for eMTC and NB-IoT</w:t>
      </w:r>
      <w:r w:rsidR="00595AF9">
        <w:rPr>
          <w:noProof/>
        </w:rPr>
        <w:t xml:space="preserve"> UE when the UE performs segmented pre-compensation</w:t>
      </w:r>
      <w:r w:rsidR="003D0341">
        <w:rPr>
          <w:noProof/>
        </w:rPr>
        <w:t xml:space="preserve"> [4]</w:t>
      </w:r>
      <w:r>
        <w:t>.</w:t>
      </w:r>
    </w:p>
    <w:p w14:paraId="03314C49" w14:textId="2712A5B5" w:rsidR="00D80305" w:rsidRDefault="00D80305" w:rsidP="00595AF9">
      <w:pPr>
        <w:ind w:left="284"/>
      </w:pPr>
      <w:r>
        <w:rPr>
          <w:u w:val="single"/>
        </w:rPr>
        <w:t>Reason for change</w:t>
      </w:r>
      <w:r>
        <w:t>:</w:t>
      </w:r>
      <w:r>
        <w:tab/>
      </w:r>
      <w:r>
        <w:rPr>
          <w:noProof/>
        </w:rPr>
        <w:t xml:space="preserve">Clarify source of </w:t>
      </w:r>
      <w:r>
        <w:rPr>
          <w:bCs/>
        </w:rPr>
        <w:t xml:space="preserve">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lang w:eastAsia="ko-KR"/>
        </w:rPr>
        <w:t xml:space="preserve"> in higher layer configuration for eMTC and NB-IoT</w:t>
      </w:r>
      <w:r>
        <w:rPr>
          <w:noProof/>
        </w:rPr>
        <w:t xml:space="preserve"> UE when the UE performs segmented pre-compensation.</w:t>
      </w:r>
    </w:p>
    <w:p w14:paraId="15485102" w14:textId="77777777" w:rsidR="00D80305" w:rsidRDefault="00D80305" w:rsidP="00595AF9">
      <w:pPr>
        <w:spacing w:after="0"/>
        <w:ind w:left="284"/>
        <w:rPr>
          <w:sz w:val="22"/>
          <w:szCs w:val="22"/>
        </w:rPr>
      </w:pPr>
      <w:r>
        <w:rPr>
          <w:u w:val="single"/>
        </w:rPr>
        <w:t>Summary of change</w:t>
      </w:r>
      <w:r>
        <w:t xml:space="preserve">: </w:t>
      </w:r>
      <w:r>
        <w:rPr>
          <w:rFonts w:eastAsia="SimSun"/>
          <w:lang w:eastAsia="zh-CN"/>
        </w:rPr>
        <w:t xml:space="preserve">For NB-IoT, the </w:t>
      </w:r>
      <w:r>
        <w:rPr>
          <w:bCs/>
        </w:rPr>
        <w:t xml:space="preserve">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lang w:eastAsia="ko-KR"/>
        </w:rPr>
        <w:t xml:space="preserve"> </w:t>
      </w:r>
      <w:r>
        <w:rPr>
          <w:rFonts w:eastAsia="SimSun"/>
          <w:lang w:eastAsia="zh-CN"/>
        </w:rPr>
        <w:t xml:space="preserve">is configured from system information for PRACH and from RRC configuration for PUCCH/PUSCH. For eMTC, the </w:t>
      </w:r>
      <w:r>
        <w:rPr>
          <w:bCs/>
        </w:rPr>
        <w:t xml:space="preserve">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rFonts w:eastAsia="SimSun"/>
          <w:lang w:eastAsia="zh-CN"/>
        </w:rPr>
        <w:t xml:space="preserve"> is configured system information for NPRACH and from RRC configuration for NPUSCH</w:t>
      </w:r>
      <w:r>
        <w:tab/>
      </w:r>
      <w:r>
        <w:rPr>
          <w:sz w:val="22"/>
          <w:szCs w:val="22"/>
        </w:rPr>
        <w:t xml:space="preserve">. </w:t>
      </w:r>
    </w:p>
    <w:p w14:paraId="12587974" w14:textId="77777777" w:rsidR="00D80305" w:rsidRDefault="00D80305" w:rsidP="00595AF9">
      <w:pPr>
        <w:spacing w:after="0"/>
        <w:ind w:left="284"/>
        <w:rPr>
          <w:rFonts w:eastAsia="SimSun"/>
          <w:lang w:eastAsia="zh-CN"/>
        </w:rPr>
      </w:pPr>
    </w:p>
    <w:p w14:paraId="6738196A" w14:textId="77777777" w:rsidR="00D80305" w:rsidRDefault="00D80305" w:rsidP="00595AF9">
      <w:pPr>
        <w:ind w:left="284"/>
      </w:pPr>
      <w:r>
        <w:rPr>
          <w:u w:val="single"/>
        </w:rPr>
        <w:t>Consequences if not approved</w:t>
      </w:r>
      <w:r>
        <w:t>:</w:t>
      </w:r>
      <w:r>
        <w:tab/>
        <w:t>Release 17 eMTC/NB-IoT UEs cannot communicate via NGSO NTNs</w:t>
      </w:r>
    </w:p>
    <w:p w14:paraId="1E2459B0" w14:textId="6D7828B8" w:rsidR="00A16361" w:rsidRDefault="00A16361">
      <w:pPr>
        <w:pStyle w:val="BodyText"/>
      </w:pPr>
    </w:p>
    <w:p w14:paraId="0B32BADE" w14:textId="2C176CA2" w:rsidR="00E44311" w:rsidRDefault="000C57F9" w:rsidP="00E44311">
      <w:pPr>
        <w:rPr>
          <w:lang w:eastAsia="ja-JP"/>
        </w:rPr>
      </w:pPr>
      <w:r w:rsidRPr="003D0737">
        <w:rPr>
          <w:b/>
          <w:bCs/>
          <w:highlight w:val="yellow"/>
          <w:lang w:eastAsia="ja-JP"/>
        </w:rPr>
        <w:t>Moderator view</w:t>
      </w:r>
      <w:r>
        <w:rPr>
          <w:lang w:eastAsia="ja-JP"/>
        </w:rPr>
        <w:t xml:space="preserve">: </w:t>
      </w:r>
      <w:r w:rsidR="00E44311">
        <w:rPr>
          <w:lang w:eastAsia="ja-JP"/>
        </w:rPr>
        <w:t xml:space="preserve">On OPPO draft CR (R1-2208831) and </w:t>
      </w:r>
      <w:bookmarkStart w:id="3" w:name="_Hlk116028970"/>
      <w:r w:rsidR="00E44311">
        <w:rPr>
          <w:lang w:eastAsia="ja-JP"/>
        </w:rPr>
        <w:t>Nokia draft CR#2 (R1-2209243)</w:t>
      </w:r>
      <w:r w:rsidR="00414255">
        <w:rPr>
          <w:lang w:eastAsia="ja-JP"/>
        </w:rPr>
        <w:t xml:space="preserve"> for </w:t>
      </w:r>
      <w:r w:rsidR="00414255">
        <w:t>TS 36.213 Section 4.2.3 and 16.1.2</w:t>
      </w:r>
      <w:bookmarkEnd w:id="3"/>
      <w:r w:rsidR="00E44311">
        <w:rPr>
          <w:lang w:eastAsia="ja-JP"/>
        </w:rPr>
        <w:t>:</w:t>
      </w:r>
    </w:p>
    <w:p w14:paraId="3437948A" w14:textId="77777777" w:rsidR="00E44311" w:rsidRDefault="00E44311" w:rsidP="000C57F9">
      <w:pPr>
        <w:ind w:left="284"/>
        <w:rPr>
          <w:lang w:eastAsia="ja-JP"/>
        </w:rPr>
      </w:pPr>
      <w:r>
        <w:rPr>
          <w:lang w:eastAsia="ja-JP"/>
        </w:rPr>
        <w:t>These CRs propose revision based on RAN1#107-e agreement.</w:t>
      </w:r>
    </w:p>
    <w:p w14:paraId="534A4D52" w14:textId="77777777" w:rsidR="00E44311" w:rsidRDefault="00E44311" w:rsidP="000C57F9">
      <w:pPr>
        <w:ind w:left="284"/>
        <w:rPr>
          <w:lang w:eastAsia="en-GB"/>
        </w:rPr>
      </w:pPr>
      <w:r>
        <w:rPr>
          <w:b/>
          <w:bCs/>
          <w:highlight w:val="green"/>
        </w:rPr>
        <w:t>Agreement</w:t>
      </w:r>
    </w:p>
    <w:p w14:paraId="64851ECD" w14:textId="77777777" w:rsidR="00E44311" w:rsidRDefault="00E44311" w:rsidP="000C57F9">
      <w:pPr>
        <w:ind w:left="284"/>
      </w:pPr>
      <w:r>
        <w:t>Support network re-configuration of UL transmission segment by dedicated RRC Signalling</w:t>
      </w:r>
    </w:p>
    <w:p w14:paraId="61FB7A68" w14:textId="77777777" w:rsidR="00E44311" w:rsidRDefault="00E44311" w:rsidP="000C57F9">
      <w:pPr>
        <w:ind w:left="284"/>
      </w:pPr>
      <w:r>
        <w:t>The revised text for Section 4.3 and 16.1.2 in TS 36.213 is copied below</w:t>
      </w:r>
    </w:p>
    <w:p w14:paraId="0793E31E" w14:textId="3BF19F53" w:rsidR="00E44311" w:rsidRPr="000C57F9" w:rsidRDefault="00E44311" w:rsidP="000C57F9">
      <w:pPr>
        <w:pStyle w:val="ListParagraph"/>
        <w:numPr>
          <w:ilvl w:val="0"/>
          <w:numId w:val="16"/>
        </w:numPr>
        <w:tabs>
          <w:tab w:val="num" w:pos="644"/>
        </w:tabs>
        <w:ind w:left="1004"/>
        <w:rPr>
          <w:bCs/>
        </w:rPr>
      </w:pPr>
      <w:r w:rsidRPr="000C57F9">
        <w:rPr>
          <w:bCs/>
          <w:lang w:eastAsia="en-GB"/>
        </w:rPr>
        <w:t xml:space="preserve">OPPO revised text: “where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0C57F9">
        <w:rPr>
          <w:bCs/>
        </w:rPr>
        <w:t xml:space="preserve"> is provided by system information</w:t>
      </w:r>
      <w:ins w:id="4" w:author="Zuomin Wu" w:date="2022-09-23T17:29:00Z">
        <w:r w:rsidRPr="000C57F9">
          <w:rPr>
            <w:bCs/>
          </w:rPr>
          <w:t xml:space="preserve"> </w:t>
        </w:r>
      </w:ins>
      <w:ins w:id="5" w:author="Zuomin Wu" w:date="2022-09-23T17:30:00Z">
        <w:r w:rsidRPr="000C57F9">
          <w:rPr>
            <w:bCs/>
          </w:rPr>
          <w:t>or higher layer</w:t>
        </w:r>
      </w:ins>
      <w:ins w:id="6" w:author="Zuomin Wu" w:date="2022-09-23T17:34:00Z">
        <w:r w:rsidRPr="000C57F9">
          <w:rPr>
            <w:bCs/>
          </w:rPr>
          <w:t>s</w:t>
        </w:r>
      </w:ins>
      <w:r w:rsidR="004428FF">
        <w:rPr>
          <w:bCs/>
        </w:rPr>
        <w:t>, as specified in 3GPP TS 36.331”</w:t>
      </w:r>
    </w:p>
    <w:p w14:paraId="4F7CA8A0" w14:textId="567122F1" w:rsidR="00E44311" w:rsidRDefault="00E44311" w:rsidP="000C57F9">
      <w:pPr>
        <w:pStyle w:val="ListParagraph"/>
        <w:numPr>
          <w:ilvl w:val="0"/>
          <w:numId w:val="16"/>
        </w:numPr>
        <w:tabs>
          <w:tab w:val="num" w:pos="644"/>
        </w:tabs>
        <w:ind w:left="1004"/>
        <w:rPr>
          <w:lang w:eastAsia="ja-JP"/>
        </w:rPr>
      </w:pPr>
      <w:r w:rsidRPr="000C57F9">
        <w:rPr>
          <w:bCs/>
        </w:rPr>
        <w:t xml:space="preserve">Nokia revised text: “where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0C57F9">
        <w:rPr>
          <w:bCs/>
        </w:rPr>
        <w:t xml:space="preserve"> is provided by system information</w:t>
      </w:r>
      <w:ins w:id="7" w:author="Sun, Jingyuan (NSB - CN/Beijing)" w:date="2022-09-27T15:58:00Z">
        <w:r w:rsidRPr="000C57F9">
          <w:rPr>
            <w:bCs/>
          </w:rPr>
          <w:t xml:space="preserve"> or RRC configuration</w:t>
        </w:r>
      </w:ins>
      <w:r w:rsidR="004428FF">
        <w:rPr>
          <w:bCs/>
        </w:rPr>
        <w:t>, as specified in 3GPP TS 36.331”</w:t>
      </w:r>
    </w:p>
    <w:p w14:paraId="1DCD56AA" w14:textId="6EA4EDE4" w:rsidR="00595AF9" w:rsidRDefault="00235CA0">
      <w:pPr>
        <w:pStyle w:val="BodyText"/>
      </w:pPr>
      <w:r>
        <w:t xml:space="preserve">In TS 36.213, “higher layer” is typically used for RRC parameters provided with common RRC signalling in SIB or dedicated RRC signalling. Moderator understanding is that the text </w:t>
      </w:r>
      <w:r w:rsidR="00414255">
        <w:t xml:space="preserve">in TS 36.213 Section 4.2.3 and 16.1.2 </w:t>
      </w:r>
      <w:r>
        <w:t xml:space="preserve">should be revised as </w:t>
      </w:r>
      <w:r>
        <w:rPr>
          <w:bCs/>
        </w:rPr>
        <w:t xml:space="preserve">“where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bCs/>
        </w:rPr>
        <w:t xml:space="preserve"> is provided by </w:t>
      </w:r>
      <w:r w:rsidRPr="00235CA0">
        <w:rPr>
          <w:bCs/>
          <w:strike/>
          <w:color w:val="FF0000"/>
        </w:rPr>
        <w:t>system information</w:t>
      </w:r>
      <w:r>
        <w:rPr>
          <w:bCs/>
        </w:rPr>
        <w:t xml:space="preserve"> </w:t>
      </w:r>
      <w:r w:rsidRPr="001E3E82">
        <w:rPr>
          <w:bCs/>
          <w:color w:val="FF0000"/>
        </w:rPr>
        <w:t>by higher layer</w:t>
      </w:r>
      <w:r>
        <w:rPr>
          <w:bCs/>
        </w:rPr>
        <w:t>, as specified in 3GPP TS 36.331”</w:t>
      </w:r>
    </w:p>
    <w:p w14:paraId="0C0B6ACF" w14:textId="77777777" w:rsidR="00ED12B7" w:rsidRDefault="00ED12B7">
      <w:pPr>
        <w:pStyle w:val="BodyText"/>
      </w:pPr>
    </w:p>
    <w:p w14:paraId="73918508" w14:textId="4E659930" w:rsidR="00A16361" w:rsidRDefault="00AD0375">
      <w:pPr>
        <w:pStyle w:val="Heading2"/>
        <w:rPr>
          <w:lang w:eastAsia="zh-CN"/>
        </w:rPr>
      </w:pPr>
      <w:r>
        <w:rPr>
          <w:lang w:eastAsia="zh-CN"/>
        </w:rPr>
        <w:t>FL recommendation</w:t>
      </w:r>
    </w:p>
    <w:p w14:paraId="316C5C61" w14:textId="002B74A0" w:rsidR="00235CA0" w:rsidRDefault="00235CA0" w:rsidP="00235CA0">
      <w:pPr>
        <w:rPr>
          <w:i/>
          <w:iCs/>
        </w:rPr>
      </w:pPr>
      <w:r>
        <w:rPr>
          <w:b/>
          <w:bCs/>
          <w:i/>
          <w:iCs/>
          <w:highlight w:val="yellow"/>
        </w:rPr>
        <w:t>FL recommendation 2.1-a</w:t>
      </w:r>
      <w:r>
        <w:rPr>
          <w:i/>
          <w:iCs/>
        </w:rPr>
        <w:t>: Draft CR to TS 36.213 in Sections 4.2.3 Transmission timing adjustments for eMTC and Section 16.1.2 Timing synchronization for NB-IoT on UE pre-compensation in segment</w:t>
      </w:r>
      <w:r w:rsidR="00654C61">
        <w:rPr>
          <w:i/>
          <w:iCs/>
        </w:rPr>
        <w:t xml:space="preserve"> based on OPPO draft CR R1-2208831 and Nokia draft CR#2 R1-2209243</w:t>
      </w:r>
      <w:r>
        <w:rPr>
          <w:i/>
          <w:iCs/>
        </w:rPr>
        <w:t>.</w:t>
      </w:r>
    </w:p>
    <w:p w14:paraId="26717F72" w14:textId="77777777" w:rsidR="001E3E82" w:rsidRDefault="001E3E82" w:rsidP="001E3E82">
      <w:pPr>
        <w:snapToGrid w:val="0"/>
        <w:spacing w:beforeLines="50" w:before="120" w:afterLines="50" w:after="120"/>
        <w:ind w:left="284"/>
        <w:rPr>
          <w:rFonts w:eastAsiaTheme="minorEastAsia"/>
          <w:lang w:eastAsia="zh-CN"/>
        </w:rPr>
      </w:pPr>
      <w:r>
        <w:rPr>
          <w:rFonts w:eastAsiaTheme="minorEastAsia"/>
          <w:u w:val="single"/>
          <w:lang w:eastAsia="zh-CN"/>
        </w:rPr>
        <w:t>Reason for change</w:t>
      </w:r>
      <w:r>
        <w:rPr>
          <w:rFonts w:eastAsiaTheme="minorEastAsia"/>
          <w:lang w:eastAsia="zh-CN"/>
        </w:rPr>
        <w:t>:</w:t>
      </w:r>
      <w:r>
        <w:rPr>
          <w:rFonts w:eastAsiaTheme="minorEastAsia"/>
          <w:lang w:eastAsia="zh-CN"/>
        </w:rPr>
        <w:tab/>
        <w:t>In RAN1 meeting #107e, the following agreement on UE pre-compensation in segment was made and was not reflected in the specification.</w:t>
      </w:r>
    </w:p>
    <w:p w14:paraId="52F1812F" w14:textId="77777777" w:rsidR="001E3E82" w:rsidRDefault="001E3E82" w:rsidP="001E3E82">
      <w:pPr>
        <w:ind w:left="568"/>
        <w:rPr>
          <w:lang w:eastAsia="en-GB"/>
        </w:rPr>
      </w:pPr>
      <w:r>
        <w:rPr>
          <w:b/>
          <w:bCs/>
          <w:highlight w:val="green"/>
        </w:rPr>
        <w:t>Agreement</w:t>
      </w:r>
    </w:p>
    <w:p w14:paraId="316D272C" w14:textId="514908B4" w:rsidR="001E3E82" w:rsidRPr="001E3E82" w:rsidRDefault="001E3E82" w:rsidP="001E3E82">
      <w:pPr>
        <w:ind w:left="568"/>
      </w:pPr>
      <w:r>
        <w:t>Support network re-configuration of UL transmission segment by dedicated RRC Signalling</w:t>
      </w:r>
      <w:r>
        <w:rPr>
          <w:rFonts w:eastAsiaTheme="minorEastAsia"/>
          <w:lang w:eastAsia="zh-CN"/>
        </w:rPr>
        <w:t>.</w:t>
      </w:r>
    </w:p>
    <w:p w14:paraId="43849DF3" w14:textId="77777777" w:rsidR="001E3E82" w:rsidRDefault="001E3E82" w:rsidP="001E3E82">
      <w:pPr>
        <w:snapToGrid w:val="0"/>
        <w:spacing w:beforeLines="50" w:before="120" w:afterLines="50" w:after="120"/>
        <w:ind w:left="284"/>
        <w:rPr>
          <w:rFonts w:eastAsiaTheme="minorEastAsia"/>
          <w:lang w:eastAsia="zh-CN"/>
        </w:rPr>
      </w:pPr>
      <w:r>
        <w:rPr>
          <w:rFonts w:eastAsiaTheme="minorEastAsia"/>
          <w:u w:val="single"/>
          <w:lang w:eastAsia="zh-CN"/>
        </w:rPr>
        <w:t>Summary of change</w:t>
      </w:r>
      <w:r>
        <w:rPr>
          <w:rFonts w:eastAsiaTheme="minorEastAsia"/>
          <w:lang w:eastAsia="zh-CN"/>
        </w:rPr>
        <w:t>:</w:t>
      </w:r>
      <w:r>
        <w:rPr>
          <w:rFonts w:eastAsiaTheme="minorEastAsia"/>
          <w:lang w:eastAsia="zh-CN"/>
        </w:rPr>
        <w:tab/>
        <w:t>Reflect the missing agreement on UE pre-compensation in segment.</w:t>
      </w:r>
    </w:p>
    <w:p w14:paraId="51AC3A62" w14:textId="77777777" w:rsidR="001E3E82" w:rsidRDefault="001E3E82" w:rsidP="001E3E82">
      <w:pPr>
        <w:snapToGrid w:val="0"/>
        <w:spacing w:beforeLines="50" w:before="120" w:afterLines="50" w:after="120"/>
        <w:ind w:left="284"/>
        <w:rPr>
          <w:rFonts w:eastAsiaTheme="minorEastAsia"/>
          <w:lang w:eastAsia="zh-CN"/>
        </w:rPr>
      </w:pPr>
      <w:r>
        <w:rPr>
          <w:rFonts w:eastAsiaTheme="minorEastAsia"/>
          <w:u w:val="single"/>
          <w:lang w:eastAsia="zh-CN"/>
        </w:rPr>
        <w:t>Consequences if not approved</w:t>
      </w:r>
      <w:r>
        <w:rPr>
          <w:rFonts w:eastAsiaTheme="minorEastAsia"/>
          <w:lang w:eastAsia="zh-CN"/>
        </w:rPr>
        <w:t>:</w:t>
      </w:r>
      <w:r>
        <w:rPr>
          <w:rFonts w:eastAsiaTheme="minorEastAsia"/>
          <w:lang w:eastAsia="zh-CN"/>
        </w:rPr>
        <w:tab/>
        <w:t>Incomplete specification.</w:t>
      </w:r>
    </w:p>
    <w:p w14:paraId="2BFA17C4" w14:textId="54104B2A" w:rsidR="00235CA0" w:rsidRDefault="001E3E82" w:rsidP="001E3E82">
      <w:pPr>
        <w:ind w:left="284"/>
      </w:pPr>
      <w:r>
        <w:t>TP to Section 4.2.3 and 16.1.2:</w:t>
      </w:r>
      <w:r w:rsidR="00235CA0">
        <w:t xml:space="preserve"> </w:t>
      </w:r>
      <w:r w:rsidR="00235CA0">
        <w:rPr>
          <w:bCs/>
        </w:rPr>
        <w:t xml:space="preserve">“where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00235CA0">
        <w:rPr>
          <w:bCs/>
        </w:rPr>
        <w:t xml:space="preserve"> is provided by </w:t>
      </w:r>
      <w:r w:rsidR="00235CA0">
        <w:rPr>
          <w:bCs/>
          <w:strike/>
          <w:color w:val="FF0000"/>
        </w:rPr>
        <w:t xml:space="preserve">system </w:t>
      </w:r>
      <w:proofErr w:type="gramStart"/>
      <w:r w:rsidR="00235CA0">
        <w:rPr>
          <w:bCs/>
          <w:strike/>
          <w:color w:val="FF0000"/>
        </w:rPr>
        <w:t>information</w:t>
      </w:r>
      <w:r w:rsidR="00235CA0">
        <w:rPr>
          <w:bCs/>
        </w:rPr>
        <w:t xml:space="preserve">  </w:t>
      </w:r>
      <w:r w:rsidR="00235CA0" w:rsidRPr="001E3E82">
        <w:rPr>
          <w:bCs/>
          <w:color w:val="FF0000"/>
        </w:rPr>
        <w:t>higher</w:t>
      </w:r>
      <w:proofErr w:type="gramEnd"/>
      <w:r w:rsidR="00235CA0" w:rsidRPr="001E3E82">
        <w:rPr>
          <w:bCs/>
          <w:color w:val="FF0000"/>
        </w:rPr>
        <w:t xml:space="preserve"> layer</w:t>
      </w:r>
      <w:r w:rsidR="00235CA0">
        <w:rPr>
          <w:bCs/>
        </w:rPr>
        <w:t>, as specified in 3GPP TS 36.331”</w:t>
      </w:r>
    </w:p>
    <w:p w14:paraId="78C7B5E4" w14:textId="603CC499" w:rsidR="00A16361" w:rsidRDefault="00654C61" w:rsidP="00654C61">
      <w:pPr>
        <w:pStyle w:val="BodyText"/>
        <w:tabs>
          <w:tab w:val="left" w:pos="3445"/>
          <w:tab w:val="left" w:pos="8640"/>
        </w:tabs>
      </w:pPr>
      <w:r>
        <w:tab/>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18ACE130" w14:textId="77777777">
        <w:trPr>
          <w:trHeight w:val="398"/>
          <w:jc w:val="center"/>
        </w:trPr>
        <w:tc>
          <w:tcPr>
            <w:tcW w:w="2547" w:type="dxa"/>
            <w:shd w:val="clear" w:color="auto" w:fill="auto"/>
            <w:vAlign w:val="center"/>
          </w:tcPr>
          <w:p w14:paraId="2099F2C7" w14:textId="77777777" w:rsidR="00A16361" w:rsidRDefault="00A805D7">
            <w:pPr>
              <w:snapToGrid w:val="0"/>
              <w:spacing w:after="0"/>
              <w:jc w:val="center"/>
            </w:pPr>
            <w:r>
              <w:t>Companies</w:t>
            </w:r>
          </w:p>
        </w:tc>
        <w:tc>
          <w:tcPr>
            <w:tcW w:w="8080" w:type="dxa"/>
            <w:shd w:val="clear" w:color="auto" w:fill="auto"/>
            <w:vAlign w:val="center"/>
          </w:tcPr>
          <w:p w14:paraId="4D037503" w14:textId="77777777" w:rsidR="00A16361" w:rsidRDefault="00A805D7">
            <w:pPr>
              <w:snapToGrid w:val="0"/>
              <w:spacing w:after="0"/>
              <w:jc w:val="center"/>
            </w:pPr>
            <w:r>
              <w:t>Comments</w:t>
            </w:r>
          </w:p>
        </w:tc>
      </w:tr>
      <w:tr w:rsidR="00A16361" w14:paraId="7786A1B8" w14:textId="77777777">
        <w:trPr>
          <w:trHeight w:val="398"/>
          <w:jc w:val="center"/>
        </w:trPr>
        <w:tc>
          <w:tcPr>
            <w:tcW w:w="2547" w:type="dxa"/>
            <w:shd w:val="clear" w:color="auto" w:fill="auto"/>
            <w:vAlign w:val="center"/>
          </w:tcPr>
          <w:p w14:paraId="3B47B3E6" w14:textId="4591903C" w:rsidR="00A16361" w:rsidRDefault="00E96F96">
            <w:pPr>
              <w:snapToGrid w:val="0"/>
              <w:spacing w:after="0"/>
              <w:rPr>
                <w:lang w:eastAsia="zh-CN"/>
              </w:rPr>
            </w:pPr>
            <w:r>
              <w:rPr>
                <w:lang w:eastAsia="zh-CN"/>
              </w:rPr>
              <w:t>Lenovo</w:t>
            </w:r>
          </w:p>
        </w:tc>
        <w:tc>
          <w:tcPr>
            <w:tcW w:w="8080" w:type="dxa"/>
            <w:vAlign w:val="center"/>
          </w:tcPr>
          <w:p w14:paraId="6E6A1A7A" w14:textId="3D5F0D51" w:rsidR="00A16361" w:rsidRDefault="00E96F96">
            <w:pPr>
              <w:pStyle w:val="Eqn"/>
              <w:rPr>
                <w:sz w:val="20"/>
                <w:szCs w:val="20"/>
              </w:rPr>
            </w:pPr>
            <w:r>
              <w:rPr>
                <w:lang w:eastAsia="zh-CN"/>
              </w:rPr>
              <w:t>To align the legacy text, it is better to update as “</w:t>
            </w:r>
            <w:r>
              <w:rPr>
                <w:bCs/>
                <w:color w:val="FF0000"/>
              </w:rPr>
              <w:t>higher layer</w:t>
            </w:r>
            <w:r>
              <w:rPr>
                <w:bCs/>
                <w:color w:val="FF0000"/>
                <w:highlight w:val="yellow"/>
              </w:rPr>
              <w:t>s</w:t>
            </w:r>
            <w:r>
              <w:rPr>
                <w:lang w:eastAsia="zh-CN"/>
              </w:rPr>
              <w:t>”</w:t>
            </w:r>
          </w:p>
        </w:tc>
      </w:tr>
      <w:tr w:rsidR="00A16361" w14:paraId="6A6E89DA" w14:textId="77777777">
        <w:trPr>
          <w:trHeight w:val="398"/>
          <w:jc w:val="center"/>
        </w:trPr>
        <w:tc>
          <w:tcPr>
            <w:tcW w:w="2547" w:type="dxa"/>
            <w:shd w:val="clear" w:color="auto" w:fill="auto"/>
            <w:vAlign w:val="center"/>
          </w:tcPr>
          <w:p w14:paraId="02F7032A" w14:textId="5A8FCB68" w:rsidR="00A16361" w:rsidRDefault="006267F9">
            <w:pPr>
              <w:snapToGrid w:val="0"/>
              <w:spacing w:after="0"/>
              <w:rPr>
                <w:rFonts w:eastAsiaTheme="minorEastAsia"/>
                <w:lang w:eastAsia="zh-CN"/>
              </w:rPr>
            </w:pPr>
            <w:r>
              <w:rPr>
                <w:rFonts w:eastAsiaTheme="minorEastAsia"/>
                <w:lang w:eastAsia="zh-CN"/>
              </w:rPr>
              <w:t>Moderator</w:t>
            </w:r>
          </w:p>
        </w:tc>
        <w:tc>
          <w:tcPr>
            <w:tcW w:w="8080" w:type="dxa"/>
            <w:vAlign w:val="center"/>
          </w:tcPr>
          <w:p w14:paraId="2E50BCFA" w14:textId="46CC57E5" w:rsidR="00A16361" w:rsidRDefault="006267F9" w:rsidP="006267F9">
            <w:pPr>
              <w:pStyle w:val="Eqn"/>
              <w:rPr>
                <w:rFonts w:eastAsia="MS Mincho"/>
              </w:rPr>
            </w:pPr>
            <w:r w:rsidRPr="006267F9">
              <w:rPr>
                <w:lang w:eastAsia="zh-CN"/>
              </w:rPr>
              <w:t>Minor editorial revisions for reference for CRs were made</w:t>
            </w:r>
          </w:p>
        </w:tc>
      </w:tr>
      <w:tr w:rsidR="00A16361" w14:paraId="047CA293" w14:textId="77777777">
        <w:trPr>
          <w:trHeight w:val="398"/>
          <w:jc w:val="center"/>
        </w:trPr>
        <w:tc>
          <w:tcPr>
            <w:tcW w:w="2547" w:type="dxa"/>
            <w:shd w:val="clear" w:color="auto" w:fill="auto"/>
            <w:vAlign w:val="center"/>
          </w:tcPr>
          <w:p w14:paraId="2DAB5187" w14:textId="73FC9152" w:rsidR="00A16361" w:rsidRDefault="000622A3">
            <w:pPr>
              <w:snapToGrid w:val="0"/>
              <w:spacing w:after="0"/>
              <w:rPr>
                <w:lang w:eastAsia="zh-CN"/>
              </w:rPr>
            </w:pPr>
            <w:r>
              <w:rPr>
                <w:lang w:eastAsia="zh-CN"/>
              </w:rPr>
              <w:t>Ericsson</w:t>
            </w:r>
          </w:p>
        </w:tc>
        <w:tc>
          <w:tcPr>
            <w:tcW w:w="8080" w:type="dxa"/>
            <w:vAlign w:val="center"/>
          </w:tcPr>
          <w:p w14:paraId="525E3DFB" w14:textId="00442255" w:rsidR="00A16361" w:rsidRDefault="000622A3">
            <w:pPr>
              <w:pStyle w:val="Eqn"/>
              <w:rPr>
                <w:sz w:val="20"/>
                <w:szCs w:val="20"/>
              </w:rPr>
            </w:pPr>
            <w:r>
              <w:rPr>
                <w:sz w:val="20"/>
                <w:szCs w:val="20"/>
              </w:rPr>
              <w:t>Support. Lenovo’s edit is ok.</w:t>
            </w:r>
          </w:p>
        </w:tc>
      </w:tr>
      <w:tr w:rsidR="00A16361" w14:paraId="66B5B29C" w14:textId="77777777">
        <w:trPr>
          <w:trHeight w:val="398"/>
          <w:jc w:val="center"/>
        </w:trPr>
        <w:tc>
          <w:tcPr>
            <w:tcW w:w="2547" w:type="dxa"/>
            <w:shd w:val="clear" w:color="auto" w:fill="auto"/>
            <w:vAlign w:val="center"/>
          </w:tcPr>
          <w:p w14:paraId="3C759374" w14:textId="4A11EB0A" w:rsidR="00A16361" w:rsidRDefault="003C295D">
            <w:pPr>
              <w:snapToGrid w:val="0"/>
              <w:spacing w:after="0"/>
              <w:rPr>
                <w:rFonts w:eastAsiaTheme="minorEastAsia"/>
                <w:lang w:eastAsia="zh-CN"/>
              </w:rPr>
            </w:pPr>
            <w:r>
              <w:rPr>
                <w:rFonts w:eastAsiaTheme="minorEastAsia" w:hint="eastAsia"/>
                <w:lang w:eastAsia="zh-CN"/>
              </w:rPr>
              <w:t>ZTE</w:t>
            </w:r>
          </w:p>
        </w:tc>
        <w:tc>
          <w:tcPr>
            <w:tcW w:w="8080" w:type="dxa"/>
            <w:vAlign w:val="center"/>
          </w:tcPr>
          <w:p w14:paraId="05A6AFDF" w14:textId="04DC3FCC" w:rsidR="00A16361" w:rsidRPr="003C295D" w:rsidRDefault="003C295D">
            <w:pPr>
              <w:pStyle w:val="Eqn"/>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0843A0" w14:paraId="7FDFDD31" w14:textId="77777777">
        <w:trPr>
          <w:trHeight w:val="398"/>
          <w:jc w:val="center"/>
        </w:trPr>
        <w:tc>
          <w:tcPr>
            <w:tcW w:w="2547" w:type="dxa"/>
            <w:shd w:val="clear" w:color="auto" w:fill="auto"/>
            <w:vAlign w:val="center"/>
          </w:tcPr>
          <w:p w14:paraId="6391F824" w14:textId="6889CE58" w:rsidR="000843A0" w:rsidRDefault="000843A0" w:rsidP="000843A0">
            <w:pPr>
              <w:snapToGrid w:val="0"/>
              <w:spacing w:after="0"/>
              <w:rPr>
                <w:lang w:val="en-US" w:eastAsia="zh-CN"/>
              </w:rPr>
            </w:pPr>
            <w:r w:rsidRPr="72804E68">
              <w:rPr>
                <w:lang w:eastAsia="zh-CN"/>
              </w:rPr>
              <w:t>Nokia, NSB</w:t>
            </w:r>
          </w:p>
        </w:tc>
        <w:tc>
          <w:tcPr>
            <w:tcW w:w="8080" w:type="dxa"/>
            <w:vAlign w:val="center"/>
          </w:tcPr>
          <w:p w14:paraId="1EA01F5C" w14:textId="09BDF17F" w:rsidR="000843A0" w:rsidRDefault="000843A0" w:rsidP="000843A0">
            <w:pPr>
              <w:pStyle w:val="Eqn"/>
              <w:rPr>
                <w:sz w:val="20"/>
                <w:szCs w:val="20"/>
                <w:lang w:eastAsia="zh-CN"/>
              </w:rPr>
            </w:pPr>
            <w:r w:rsidRPr="72804E68">
              <w:rPr>
                <w:sz w:val="20"/>
                <w:szCs w:val="20"/>
              </w:rPr>
              <w:t>OK. Also aligned with our drafted CR.</w:t>
            </w:r>
          </w:p>
        </w:tc>
      </w:tr>
      <w:tr w:rsidR="000843A0" w14:paraId="1F9B0A3F" w14:textId="77777777">
        <w:trPr>
          <w:trHeight w:val="398"/>
          <w:jc w:val="center"/>
        </w:trPr>
        <w:tc>
          <w:tcPr>
            <w:tcW w:w="2547" w:type="dxa"/>
            <w:shd w:val="clear" w:color="auto" w:fill="auto"/>
            <w:vAlign w:val="center"/>
          </w:tcPr>
          <w:p w14:paraId="4A3599A9" w14:textId="14216CD9" w:rsidR="000843A0" w:rsidRDefault="00AE31F9" w:rsidP="000843A0">
            <w:pPr>
              <w:snapToGrid w:val="0"/>
              <w:spacing w:after="0"/>
              <w:rPr>
                <w:lang w:eastAsia="zh-CN"/>
              </w:rPr>
            </w:pPr>
            <w:r>
              <w:rPr>
                <w:lang w:eastAsia="zh-CN"/>
              </w:rPr>
              <w:t>SONY</w:t>
            </w:r>
          </w:p>
        </w:tc>
        <w:tc>
          <w:tcPr>
            <w:tcW w:w="8080" w:type="dxa"/>
            <w:vAlign w:val="center"/>
          </w:tcPr>
          <w:p w14:paraId="0554C1CA" w14:textId="4FD6A33F" w:rsidR="000843A0" w:rsidRDefault="00AE75BC" w:rsidP="000843A0">
            <w:pPr>
              <w:pStyle w:val="Eqn"/>
              <w:rPr>
                <w:sz w:val="20"/>
                <w:szCs w:val="20"/>
              </w:rPr>
            </w:pPr>
            <w:r>
              <w:rPr>
                <w:sz w:val="20"/>
                <w:szCs w:val="20"/>
              </w:rPr>
              <w:t>S</w:t>
            </w:r>
            <w:r w:rsidR="00AE31F9">
              <w:rPr>
                <w:sz w:val="20"/>
                <w:szCs w:val="20"/>
              </w:rPr>
              <w:t>upport</w:t>
            </w:r>
            <w:r>
              <w:rPr>
                <w:sz w:val="20"/>
                <w:szCs w:val="20"/>
              </w:rPr>
              <w:t>. Lenovo’s edit is OK.</w:t>
            </w:r>
          </w:p>
        </w:tc>
      </w:tr>
      <w:tr w:rsidR="000843A0" w14:paraId="7267F977" w14:textId="77777777">
        <w:trPr>
          <w:trHeight w:val="398"/>
          <w:jc w:val="center"/>
        </w:trPr>
        <w:tc>
          <w:tcPr>
            <w:tcW w:w="2547" w:type="dxa"/>
            <w:shd w:val="clear" w:color="auto" w:fill="auto"/>
            <w:vAlign w:val="center"/>
          </w:tcPr>
          <w:p w14:paraId="19E4DEA4" w14:textId="274444A3" w:rsidR="000843A0" w:rsidRDefault="000843A0" w:rsidP="000843A0">
            <w:pPr>
              <w:snapToGrid w:val="0"/>
              <w:spacing w:after="0"/>
              <w:rPr>
                <w:lang w:eastAsia="zh-CN"/>
              </w:rPr>
            </w:pPr>
          </w:p>
        </w:tc>
        <w:tc>
          <w:tcPr>
            <w:tcW w:w="8080" w:type="dxa"/>
            <w:vAlign w:val="center"/>
          </w:tcPr>
          <w:p w14:paraId="7C3E058D" w14:textId="465E35D7" w:rsidR="000843A0" w:rsidRDefault="000843A0" w:rsidP="000843A0">
            <w:pPr>
              <w:pStyle w:val="Eqn"/>
              <w:rPr>
                <w:sz w:val="20"/>
                <w:szCs w:val="20"/>
              </w:rPr>
            </w:pPr>
          </w:p>
        </w:tc>
      </w:tr>
      <w:tr w:rsidR="000843A0" w14:paraId="57BFDC8D" w14:textId="77777777">
        <w:trPr>
          <w:trHeight w:val="398"/>
          <w:jc w:val="center"/>
        </w:trPr>
        <w:tc>
          <w:tcPr>
            <w:tcW w:w="2547" w:type="dxa"/>
            <w:shd w:val="clear" w:color="auto" w:fill="auto"/>
            <w:vAlign w:val="center"/>
          </w:tcPr>
          <w:p w14:paraId="19DA4531" w14:textId="77777777" w:rsidR="000843A0" w:rsidRDefault="000843A0" w:rsidP="000843A0">
            <w:pPr>
              <w:snapToGrid w:val="0"/>
              <w:spacing w:after="0"/>
              <w:rPr>
                <w:lang w:eastAsia="zh-CN"/>
              </w:rPr>
            </w:pPr>
          </w:p>
        </w:tc>
        <w:tc>
          <w:tcPr>
            <w:tcW w:w="8080" w:type="dxa"/>
            <w:vAlign w:val="center"/>
          </w:tcPr>
          <w:p w14:paraId="659D1F1F" w14:textId="77777777" w:rsidR="000843A0" w:rsidRDefault="000843A0" w:rsidP="000843A0">
            <w:pPr>
              <w:pStyle w:val="Eqn"/>
              <w:rPr>
                <w:sz w:val="20"/>
                <w:szCs w:val="20"/>
              </w:rPr>
            </w:pPr>
          </w:p>
        </w:tc>
      </w:tr>
      <w:tr w:rsidR="000843A0" w14:paraId="1C38EDD6" w14:textId="77777777">
        <w:trPr>
          <w:trHeight w:val="398"/>
          <w:jc w:val="center"/>
        </w:trPr>
        <w:tc>
          <w:tcPr>
            <w:tcW w:w="2547" w:type="dxa"/>
            <w:shd w:val="clear" w:color="auto" w:fill="auto"/>
            <w:vAlign w:val="center"/>
          </w:tcPr>
          <w:p w14:paraId="767CE376" w14:textId="77777777" w:rsidR="000843A0" w:rsidRDefault="000843A0" w:rsidP="000843A0">
            <w:pPr>
              <w:snapToGrid w:val="0"/>
              <w:spacing w:after="0"/>
              <w:rPr>
                <w:lang w:eastAsia="zh-CN"/>
              </w:rPr>
            </w:pPr>
          </w:p>
        </w:tc>
        <w:tc>
          <w:tcPr>
            <w:tcW w:w="8080" w:type="dxa"/>
            <w:vAlign w:val="center"/>
          </w:tcPr>
          <w:p w14:paraId="302F28B1" w14:textId="77777777" w:rsidR="000843A0" w:rsidRDefault="000843A0" w:rsidP="000843A0">
            <w:pPr>
              <w:pStyle w:val="Eqn"/>
              <w:rPr>
                <w:sz w:val="20"/>
                <w:szCs w:val="20"/>
              </w:rPr>
            </w:pPr>
          </w:p>
        </w:tc>
      </w:tr>
      <w:tr w:rsidR="000843A0" w14:paraId="58F9B3B6" w14:textId="77777777">
        <w:trPr>
          <w:trHeight w:val="398"/>
          <w:jc w:val="center"/>
        </w:trPr>
        <w:tc>
          <w:tcPr>
            <w:tcW w:w="2547" w:type="dxa"/>
            <w:shd w:val="clear" w:color="auto" w:fill="auto"/>
            <w:vAlign w:val="center"/>
          </w:tcPr>
          <w:p w14:paraId="4F08F4EC" w14:textId="77777777" w:rsidR="000843A0" w:rsidRDefault="000843A0" w:rsidP="000843A0">
            <w:pPr>
              <w:snapToGrid w:val="0"/>
              <w:spacing w:after="0"/>
              <w:rPr>
                <w:lang w:eastAsia="zh-CN"/>
              </w:rPr>
            </w:pPr>
          </w:p>
        </w:tc>
        <w:tc>
          <w:tcPr>
            <w:tcW w:w="8080" w:type="dxa"/>
            <w:vAlign w:val="center"/>
          </w:tcPr>
          <w:p w14:paraId="25A8D4D5" w14:textId="77777777" w:rsidR="000843A0" w:rsidRPr="00340390" w:rsidRDefault="000843A0" w:rsidP="000843A0">
            <w:pPr>
              <w:pStyle w:val="Eqn"/>
              <w:rPr>
                <w:sz w:val="20"/>
                <w:szCs w:val="20"/>
                <w:lang w:val="en-GB"/>
              </w:rPr>
            </w:pPr>
          </w:p>
        </w:tc>
      </w:tr>
      <w:tr w:rsidR="000843A0" w14:paraId="7EDBFFA5" w14:textId="77777777">
        <w:trPr>
          <w:trHeight w:val="398"/>
          <w:jc w:val="center"/>
        </w:trPr>
        <w:tc>
          <w:tcPr>
            <w:tcW w:w="2547" w:type="dxa"/>
            <w:shd w:val="clear" w:color="auto" w:fill="auto"/>
            <w:vAlign w:val="center"/>
          </w:tcPr>
          <w:p w14:paraId="7E704021" w14:textId="77777777" w:rsidR="000843A0" w:rsidRDefault="000843A0" w:rsidP="000843A0">
            <w:pPr>
              <w:snapToGrid w:val="0"/>
              <w:spacing w:after="0"/>
              <w:rPr>
                <w:lang w:eastAsia="zh-CN"/>
              </w:rPr>
            </w:pPr>
          </w:p>
        </w:tc>
        <w:tc>
          <w:tcPr>
            <w:tcW w:w="8080" w:type="dxa"/>
            <w:vAlign w:val="center"/>
          </w:tcPr>
          <w:p w14:paraId="33592B39" w14:textId="77777777" w:rsidR="000843A0" w:rsidRDefault="000843A0" w:rsidP="000843A0">
            <w:pPr>
              <w:pStyle w:val="Eqn"/>
              <w:rPr>
                <w:sz w:val="20"/>
                <w:szCs w:val="20"/>
              </w:rPr>
            </w:pPr>
          </w:p>
        </w:tc>
      </w:tr>
      <w:tr w:rsidR="000843A0" w14:paraId="04282289" w14:textId="77777777">
        <w:trPr>
          <w:trHeight w:val="398"/>
          <w:jc w:val="center"/>
        </w:trPr>
        <w:tc>
          <w:tcPr>
            <w:tcW w:w="2547" w:type="dxa"/>
            <w:shd w:val="clear" w:color="auto" w:fill="auto"/>
            <w:vAlign w:val="center"/>
          </w:tcPr>
          <w:p w14:paraId="58EB6A41" w14:textId="77777777" w:rsidR="000843A0" w:rsidRDefault="000843A0" w:rsidP="000843A0">
            <w:pPr>
              <w:snapToGrid w:val="0"/>
              <w:spacing w:after="0"/>
              <w:rPr>
                <w:lang w:eastAsia="zh-CN"/>
              </w:rPr>
            </w:pPr>
          </w:p>
        </w:tc>
        <w:tc>
          <w:tcPr>
            <w:tcW w:w="8080" w:type="dxa"/>
            <w:vAlign w:val="center"/>
          </w:tcPr>
          <w:p w14:paraId="5A582FA1" w14:textId="77777777" w:rsidR="000843A0" w:rsidRDefault="000843A0" w:rsidP="000843A0">
            <w:pPr>
              <w:pStyle w:val="Eqn"/>
              <w:rPr>
                <w:sz w:val="20"/>
                <w:szCs w:val="20"/>
              </w:rPr>
            </w:pPr>
          </w:p>
        </w:tc>
      </w:tr>
      <w:tr w:rsidR="000843A0" w14:paraId="46F7C7A0" w14:textId="77777777">
        <w:trPr>
          <w:trHeight w:val="398"/>
          <w:jc w:val="center"/>
        </w:trPr>
        <w:tc>
          <w:tcPr>
            <w:tcW w:w="2547" w:type="dxa"/>
            <w:shd w:val="clear" w:color="auto" w:fill="auto"/>
            <w:vAlign w:val="center"/>
          </w:tcPr>
          <w:p w14:paraId="12C19C97" w14:textId="77777777" w:rsidR="000843A0" w:rsidRDefault="000843A0" w:rsidP="000843A0">
            <w:pPr>
              <w:snapToGrid w:val="0"/>
              <w:spacing w:after="0"/>
              <w:rPr>
                <w:lang w:eastAsia="zh-CN"/>
              </w:rPr>
            </w:pPr>
          </w:p>
        </w:tc>
        <w:tc>
          <w:tcPr>
            <w:tcW w:w="8080" w:type="dxa"/>
            <w:vAlign w:val="center"/>
          </w:tcPr>
          <w:p w14:paraId="28A116E3" w14:textId="77777777" w:rsidR="000843A0" w:rsidRDefault="000843A0" w:rsidP="000843A0">
            <w:pPr>
              <w:pStyle w:val="Eqn"/>
              <w:rPr>
                <w:sz w:val="20"/>
                <w:szCs w:val="20"/>
              </w:rPr>
            </w:pPr>
          </w:p>
        </w:tc>
      </w:tr>
      <w:tr w:rsidR="000843A0" w14:paraId="0B25012A" w14:textId="77777777">
        <w:trPr>
          <w:trHeight w:val="398"/>
          <w:jc w:val="center"/>
        </w:trPr>
        <w:tc>
          <w:tcPr>
            <w:tcW w:w="2547" w:type="dxa"/>
            <w:shd w:val="clear" w:color="auto" w:fill="auto"/>
            <w:vAlign w:val="center"/>
          </w:tcPr>
          <w:p w14:paraId="2AB211B4" w14:textId="77777777" w:rsidR="000843A0" w:rsidRDefault="000843A0" w:rsidP="000843A0">
            <w:pPr>
              <w:snapToGrid w:val="0"/>
              <w:spacing w:after="0"/>
              <w:rPr>
                <w:lang w:eastAsia="zh-CN"/>
              </w:rPr>
            </w:pPr>
          </w:p>
        </w:tc>
        <w:tc>
          <w:tcPr>
            <w:tcW w:w="8080" w:type="dxa"/>
            <w:vAlign w:val="center"/>
          </w:tcPr>
          <w:p w14:paraId="0C5DF24C" w14:textId="77777777" w:rsidR="000843A0" w:rsidRDefault="000843A0" w:rsidP="000843A0">
            <w:pPr>
              <w:pStyle w:val="Eqn"/>
              <w:rPr>
                <w:sz w:val="20"/>
                <w:szCs w:val="20"/>
              </w:rPr>
            </w:pPr>
          </w:p>
        </w:tc>
      </w:tr>
      <w:tr w:rsidR="000843A0" w14:paraId="672DC13B" w14:textId="77777777">
        <w:trPr>
          <w:trHeight w:val="398"/>
          <w:jc w:val="center"/>
        </w:trPr>
        <w:tc>
          <w:tcPr>
            <w:tcW w:w="2547" w:type="dxa"/>
            <w:shd w:val="clear" w:color="auto" w:fill="auto"/>
            <w:vAlign w:val="center"/>
          </w:tcPr>
          <w:p w14:paraId="25AA5A89" w14:textId="77777777" w:rsidR="000843A0" w:rsidRDefault="000843A0" w:rsidP="000843A0">
            <w:pPr>
              <w:snapToGrid w:val="0"/>
              <w:spacing w:after="0"/>
              <w:rPr>
                <w:lang w:eastAsia="zh-CN"/>
              </w:rPr>
            </w:pPr>
          </w:p>
        </w:tc>
        <w:tc>
          <w:tcPr>
            <w:tcW w:w="8080" w:type="dxa"/>
            <w:vAlign w:val="center"/>
          </w:tcPr>
          <w:p w14:paraId="13600F0A" w14:textId="77777777" w:rsidR="000843A0" w:rsidRDefault="000843A0" w:rsidP="000843A0">
            <w:pPr>
              <w:pStyle w:val="Eqn"/>
              <w:rPr>
                <w:sz w:val="20"/>
                <w:szCs w:val="20"/>
              </w:rPr>
            </w:pPr>
          </w:p>
        </w:tc>
      </w:tr>
      <w:tr w:rsidR="000843A0" w14:paraId="66D4C38C" w14:textId="77777777">
        <w:trPr>
          <w:trHeight w:val="398"/>
          <w:jc w:val="center"/>
        </w:trPr>
        <w:tc>
          <w:tcPr>
            <w:tcW w:w="2547" w:type="dxa"/>
            <w:shd w:val="clear" w:color="auto" w:fill="auto"/>
            <w:vAlign w:val="center"/>
          </w:tcPr>
          <w:p w14:paraId="615AE307" w14:textId="77777777" w:rsidR="000843A0" w:rsidRDefault="000843A0" w:rsidP="000843A0">
            <w:pPr>
              <w:snapToGrid w:val="0"/>
              <w:spacing w:after="0"/>
              <w:rPr>
                <w:lang w:eastAsia="zh-CN"/>
              </w:rPr>
            </w:pPr>
          </w:p>
        </w:tc>
        <w:tc>
          <w:tcPr>
            <w:tcW w:w="8080" w:type="dxa"/>
            <w:vAlign w:val="center"/>
          </w:tcPr>
          <w:p w14:paraId="76C46146" w14:textId="77777777" w:rsidR="000843A0" w:rsidRDefault="000843A0" w:rsidP="000843A0">
            <w:pPr>
              <w:pStyle w:val="Eqn"/>
              <w:rPr>
                <w:sz w:val="20"/>
                <w:szCs w:val="20"/>
              </w:rPr>
            </w:pPr>
          </w:p>
        </w:tc>
      </w:tr>
      <w:tr w:rsidR="000843A0" w14:paraId="5AAF8CAC" w14:textId="77777777">
        <w:trPr>
          <w:trHeight w:val="398"/>
          <w:jc w:val="center"/>
        </w:trPr>
        <w:tc>
          <w:tcPr>
            <w:tcW w:w="2547" w:type="dxa"/>
            <w:shd w:val="clear" w:color="auto" w:fill="auto"/>
            <w:vAlign w:val="center"/>
          </w:tcPr>
          <w:p w14:paraId="0B5EBB49" w14:textId="77777777" w:rsidR="000843A0" w:rsidRDefault="000843A0" w:rsidP="000843A0">
            <w:pPr>
              <w:snapToGrid w:val="0"/>
              <w:spacing w:after="0"/>
              <w:rPr>
                <w:lang w:eastAsia="zh-CN"/>
              </w:rPr>
            </w:pPr>
          </w:p>
        </w:tc>
        <w:tc>
          <w:tcPr>
            <w:tcW w:w="8080" w:type="dxa"/>
            <w:vAlign w:val="center"/>
          </w:tcPr>
          <w:p w14:paraId="4C43A8CD" w14:textId="77777777" w:rsidR="000843A0" w:rsidRDefault="000843A0" w:rsidP="000843A0">
            <w:pPr>
              <w:pStyle w:val="Eqn"/>
              <w:rPr>
                <w:sz w:val="20"/>
                <w:szCs w:val="20"/>
              </w:rPr>
            </w:pPr>
          </w:p>
        </w:tc>
      </w:tr>
      <w:tr w:rsidR="000843A0" w14:paraId="63D8BA42" w14:textId="77777777">
        <w:trPr>
          <w:trHeight w:val="398"/>
          <w:jc w:val="center"/>
        </w:trPr>
        <w:tc>
          <w:tcPr>
            <w:tcW w:w="2547" w:type="dxa"/>
            <w:shd w:val="clear" w:color="auto" w:fill="auto"/>
            <w:vAlign w:val="center"/>
          </w:tcPr>
          <w:p w14:paraId="1BB49846" w14:textId="77777777" w:rsidR="000843A0" w:rsidRDefault="000843A0" w:rsidP="000843A0">
            <w:pPr>
              <w:snapToGrid w:val="0"/>
              <w:spacing w:after="0"/>
              <w:rPr>
                <w:lang w:eastAsia="zh-CN"/>
              </w:rPr>
            </w:pPr>
          </w:p>
        </w:tc>
        <w:tc>
          <w:tcPr>
            <w:tcW w:w="8080" w:type="dxa"/>
            <w:vAlign w:val="center"/>
          </w:tcPr>
          <w:p w14:paraId="7A427D95" w14:textId="77777777" w:rsidR="000843A0" w:rsidRDefault="000843A0" w:rsidP="000843A0">
            <w:pPr>
              <w:pStyle w:val="Eqn"/>
              <w:rPr>
                <w:sz w:val="20"/>
                <w:szCs w:val="20"/>
              </w:rPr>
            </w:pPr>
          </w:p>
        </w:tc>
      </w:tr>
      <w:tr w:rsidR="000843A0" w14:paraId="7BB651BA" w14:textId="77777777">
        <w:trPr>
          <w:trHeight w:val="398"/>
          <w:jc w:val="center"/>
        </w:trPr>
        <w:tc>
          <w:tcPr>
            <w:tcW w:w="2547" w:type="dxa"/>
            <w:shd w:val="clear" w:color="auto" w:fill="auto"/>
            <w:vAlign w:val="center"/>
          </w:tcPr>
          <w:p w14:paraId="0C6E5D02" w14:textId="77777777" w:rsidR="000843A0" w:rsidRDefault="000843A0" w:rsidP="000843A0">
            <w:pPr>
              <w:snapToGrid w:val="0"/>
              <w:spacing w:after="0"/>
              <w:rPr>
                <w:lang w:eastAsia="zh-CN"/>
              </w:rPr>
            </w:pPr>
          </w:p>
        </w:tc>
        <w:tc>
          <w:tcPr>
            <w:tcW w:w="8080" w:type="dxa"/>
            <w:vAlign w:val="center"/>
          </w:tcPr>
          <w:p w14:paraId="00F2BFD7" w14:textId="77777777" w:rsidR="000843A0" w:rsidRDefault="000843A0" w:rsidP="000843A0">
            <w:pPr>
              <w:pStyle w:val="Eqn"/>
              <w:rPr>
                <w:sz w:val="20"/>
                <w:szCs w:val="20"/>
              </w:rPr>
            </w:pPr>
          </w:p>
        </w:tc>
      </w:tr>
      <w:tr w:rsidR="000843A0" w14:paraId="7B30011B" w14:textId="77777777">
        <w:trPr>
          <w:trHeight w:val="398"/>
          <w:jc w:val="center"/>
        </w:trPr>
        <w:tc>
          <w:tcPr>
            <w:tcW w:w="2547" w:type="dxa"/>
            <w:shd w:val="clear" w:color="auto" w:fill="auto"/>
            <w:vAlign w:val="center"/>
          </w:tcPr>
          <w:p w14:paraId="1C6A365F" w14:textId="77777777" w:rsidR="000843A0" w:rsidRDefault="000843A0" w:rsidP="000843A0">
            <w:pPr>
              <w:snapToGrid w:val="0"/>
              <w:spacing w:after="0"/>
              <w:rPr>
                <w:lang w:eastAsia="zh-CN"/>
              </w:rPr>
            </w:pPr>
          </w:p>
        </w:tc>
        <w:tc>
          <w:tcPr>
            <w:tcW w:w="8080" w:type="dxa"/>
            <w:vAlign w:val="center"/>
          </w:tcPr>
          <w:p w14:paraId="31B4ABCF" w14:textId="77777777" w:rsidR="000843A0" w:rsidRDefault="000843A0" w:rsidP="000843A0">
            <w:pPr>
              <w:pStyle w:val="Eqn"/>
              <w:rPr>
                <w:sz w:val="20"/>
                <w:szCs w:val="20"/>
              </w:rPr>
            </w:pPr>
          </w:p>
        </w:tc>
      </w:tr>
    </w:tbl>
    <w:p w14:paraId="7BA77200" w14:textId="77777777" w:rsidR="00A16361" w:rsidRDefault="00A16361">
      <w:pPr>
        <w:pStyle w:val="BodyText"/>
      </w:pPr>
    </w:p>
    <w:p w14:paraId="61CD5A51" w14:textId="77777777" w:rsidR="00A16361" w:rsidRDefault="00A16361">
      <w:pPr>
        <w:pStyle w:val="BodyText"/>
      </w:pPr>
    </w:p>
    <w:p w14:paraId="1E0EBA0F" w14:textId="77777777" w:rsidR="00A16361" w:rsidRDefault="00A805D7">
      <w:pPr>
        <w:pStyle w:val="Heading1"/>
        <w:rPr>
          <w:lang w:val="en-US" w:eastAsia="ja-JP"/>
        </w:rPr>
      </w:pPr>
      <w:r>
        <w:rPr>
          <w:lang w:val="en-US" w:eastAsia="ja-JP"/>
        </w:rPr>
        <w:t xml:space="preserve">NTN SIB accumulation </w:t>
      </w:r>
    </w:p>
    <w:p w14:paraId="360482C1" w14:textId="48DAC12E" w:rsidR="00A16361" w:rsidRDefault="00A805D7">
      <w:r>
        <w:t>This issue of NTN SIB accumulation was discussed in RAN1#1</w:t>
      </w:r>
      <w:r w:rsidR="00350354">
        <w:t>10</w:t>
      </w:r>
      <w:r>
        <w:t xml:space="preserve">. </w:t>
      </w:r>
    </w:p>
    <w:p w14:paraId="1AB462DA" w14:textId="77777777" w:rsidR="00350354" w:rsidRDefault="00350354" w:rsidP="00350354">
      <w:pPr>
        <w:rPr>
          <w:lang w:eastAsia="zh-CN"/>
        </w:rPr>
      </w:pPr>
      <w:r>
        <w:rPr>
          <w:lang w:eastAsia="zh-CN"/>
        </w:rPr>
        <w:t>The SIB accumulation was discussed in 1</w:t>
      </w:r>
      <w:r>
        <w:rPr>
          <w:vertAlign w:val="superscript"/>
          <w:lang w:eastAsia="zh-CN"/>
        </w:rPr>
        <w:t>st</w:t>
      </w:r>
      <w:r>
        <w:rPr>
          <w:lang w:eastAsia="zh-CN"/>
        </w:rPr>
        <w:t xml:space="preserve"> offline session. RAN2 made the following agreements:</w:t>
      </w:r>
    </w:p>
    <w:p w14:paraId="154102DD" w14:textId="77777777" w:rsidR="00350354" w:rsidRDefault="00350354" w:rsidP="00350354">
      <w:pPr>
        <w:tabs>
          <w:tab w:val="num" w:pos="360"/>
        </w:tabs>
        <w:rPr>
          <w:lang w:eastAsia="zh-CN"/>
        </w:rPr>
      </w:pPr>
      <w:r>
        <w:rPr>
          <w:lang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7A179E91" w14:textId="77777777" w:rsidR="00350354" w:rsidRDefault="00350354" w:rsidP="00350354">
      <w:pPr>
        <w:tabs>
          <w:tab w:val="num" w:pos="360"/>
        </w:tabs>
        <w:rPr>
          <w:lang w:eastAsia="zh-CN"/>
        </w:rPr>
      </w:pPr>
      <w:r>
        <w:rPr>
          <w:lang w:eastAsia="zh-CN"/>
        </w:rPr>
        <w:t>Updates to serving cell ephemeris information are not bound to the BCCH modification period.</w:t>
      </w:r>
    </w:p>
    <w:p w14:paraId="772B090C" w14:textId="77777777" w:rsidR="00350354" w:rsidRDefault="00350354" w:rsidP="00350354">
      <w:pPr>
        <w:tabs>
          <w:tab w:val="num" w:pos="360"/>
        </w:tabs>
        <w:rPr>
          <w:lang w:eastAsia="zh-CN"/>
        </w:rPr>
      </w:pPr>
      <w:r>
        <w:rPr>
          <w:lang w:eastAsia="zh-CN"/>
        </w:rPr>
        <w:t>Implicit signalling of </w:t>
      </w:r>
      <w:proofErr w:type="spellStart"/>
      <w:r>
        <w:rPr>
          <w:lang w:eastAsia="zh-CN"/>
        </w:rPr>
        <w:t>epochTime</w:t>
      </w:r>
      <w:proofErr w:type="spellEnd"/>
      <w:r>
        <w:rPr>
          <w:lang w:eastAsia="zh-CN"/>
        </w:rPr>
        <w:t> in SIB31 in broadcast signalling is supported. </w:t>
      </w:r>
    </w:p>
    <w:p w14:paraId="4907129C" w14:textId="77777777" w:rsidR="00350354" w:rsidRDefault="00350354" w:rsidP="00350354">
      <w:pPr>
        <w:rPr>
          <w:lang w:eastAsia="zh-CN"/>
        </w:rPr>
      </w:pPr>
      <w:r>
        <w:rPr>
          <w:lang w:eastAsia="zh-CN"/>
        </w:rPr>
        <w:t>Then RAN2 specified implicit Epoch time in TS 36.331 as in endorsed CR in R2-2206693</w:t>
      </w:r>
    </w:p>
    <w:p w14:paraId="2F61D140" w14:textId="77777777" w:rsidR="00350354" w:rsidRDefault="00350354" w:rsidP="00350354">
      <w:pPr>
        <w:spacing w:before="100" w:beforeAutospacing="1" w:after="100" w:afterAutospacing="1"/>
        <w:rPr>
          <w:rFonts w:ascii="Segoe UI" w:eastAsia="Times New Roman" w:hAnsi="Segoe UI" w:cs="Segoe UI"/>
          <w:i/>
          <w:iCs/>
          <w:sz w:val="21"/>
          <w:szCs w:val="21"/>
          <w:lang w:eastAsia="en-GB"/>
        </w:rPr>
      </w:pPr>
      <w:proofErr w:type="spellStart"/>
      <w:r>
        <w:rPr>
          <w:rFonts w:ascii="Segoe UI" w:eastAsia="Times New Roman" w:hAnsi="Segoe UI" w:cs="Segoe UI"/>
          <w:b/>
          <w:bCs/>
          <w:i/>
          <w:iCs/>
          <w:sz w:val="21"/>
          <w:szCs w:val="21"/>
          <w:lang w:eastAsia="en-GB"/>
        </w:rPr>
        <w:t>epochTime</w:t>
      </w:r>
      <w:proofErr w:type="spellEnd"/>
      <w:r>
        <w:rPr>
          <w:rFonts w:ascii="Segoe UI" w:eastAsia="Times New Roman" w:hAnsi="Segoe UI" w:cs="Segoe UI"/>
          <w:i/>
          <w:iCs/>
          <w:sz w:val="21"/>
          <w:szCs w:val="21"/>
          <w:lang w:eastAsia="en-GB"/>
        </w:rPr>
        <w:t xml:space="preserve"> </w:t>
      </w:r>
    </w:p>
    <w:p w14:paraId="56A55146" w14:textId="77777777" w:rsidR="00350354" w:rsidRDefault="00350354" w:rsidP="00350354">
      <w:pPr>
        <w:rPr>
          <w:i/>
          <w:iCs/>
          <w:lang w:eastAsia="zh-CN"/>
        </w:rPr>
      </w:pPr>
      <w:r>
        <w:rPr>
          <w:i/>
          <w:iCs/>
          <w:lang w:eastAsia="zh-CN"/>
        </w:rPr>
        <w:t xml:space="preserve">Epoch time of the satellite ephemeris data and common TA parameters, see TS 36.213 [23]. The reference point for epoch time of the serving satellite ephemeris and Common TA parameters is the uplink time synchronization reference point. </w:t>
      </w:r>
    </w:p>
    <w:p w14:paraId="1F2BE025" w14:textId="77777777" w:rsidR="00350354" w:rsidRDefault="00350354" w:rsidP="00350354">
      <w:pPr>
        <w:rPr>
          <w:i/>
          <w:iCs/>
          <w:lang w:eastAsia="zh-CN"/>
        </w:rPr>
      </w:pPr>
      <w:proofErr w:type="spellStart"/>
      <w:r>
        <w:rPr>
          <w:i/>
          <w:iCs/>
          <w:lang w:eastAsia="zh-CN"/>
        </w:rPr>
        <w:t>epochTime</w:t>
      </w:r>
      <w:proofErr w:type="spellEnd"/>
      <w:r>
        <w:rPr>
          <w:i/>
          <w:iCs/>
          <w:lang w:eastAsia="zh-CN"/>
        </w:rPr>
        <w:t xml:space="preserve"> is the starting time of a DL subframe indicated by </w:t>
      </w:r>
      <w:proofErr w:type="spellStart"/>
      <w:r>
        <w:rPr>
          <w:i/>
          <w:iCs/>
          <w:lang w:eastAsia="zh-CN"/>
        </w:rPr>
        <w:t>startSFN</w:t>
      </w:r>
      <w:proofErr w:type="spellEnd"/>
      <w:r>
        <w:rPr>
          <w:i/>
          <w:iCs/>
          <w:lang w:eastAsia="zh-CN"/>
        </w:rPr>
        <w:t xml:space="preserve"> and </w:t>
      </w:r>
      <w:proofErr w:type="spellStart"/>
      <w:r>
        <w:rPr>
          <w:i/>
          <w:iCs/>
          <w:lang w:eastAsia="zh-CN"/>
        </w:rPr>
        <w:t>startSubframe</w:t>
      </w:r>
      <w:proofErr w:type="spellEnd"/>
      <w:r>
        <w:rPr>
          <w:i/>
          <w:iCs/>
          <w:lang w:eastAsia="zh-CN"/>
        </w:rPr>
        <w:t xml:space="preserve">. </w:t>
      </w:r>
    </w:p>
    <w:p w14:paraId="7142ACA0" w14:textId="77777777" w:rsidR="00350354" w:rsidRDefault="00350354" w:rsidP="00350354">
      <w:pPr>
        <w:rPr>
          <w:i/>
          <w:iCs/>
          <w:lang w:eastAsia="zh-CN"/>
        </w:rPr>
      </w:pPr>
      <w:r>
        <w:rPr>
          <w:i/>
          <w:iCs/>
          <w:lang w:eastAsia="zh-CN"/>
        </w:rPr>
        <w:t xml:space="preserve">If the field is absent, the UE uses the starting time of the DL subframe corresponding to the end of the SI window during which the SI message carrying SIB31 is transmitted. </w:t>
      </w:r>
    </w:p>
    <w:p w14:paraId="6F218473" w14:textId="2C6CAA01" w:rsidR="00350354" w:rsidRPr="00350354" w:rsidRDefault="00350354" w:rsidP="00350354">
      <w:pPr>
        <w:rPr>
          <w:i/>
          <w:iCs/>
          <w:lang w:eastAsia="zh-CN"/>
        </w:rPr>
      </w:pPr>
      <w:r>
        <w:rPr>
          <w:i/>
          <w:iCs/>
          <w:lang w:eastAsia="zh-CN"/>
        </w:rPr>
        <w:t xml:space="preserve">E-UTRAN always includes </w:t>
      </w:r>
      <w:proofErr w:type="spellStart"/>
      <w:r>
        <w:rPr>
          <w:i/>
          <w:iCs/>
          <w:lang w:eastAsia="zh-CN"/>
        </w:rPr>
        <w:t>epochTime</w:t>
      </w:r>
      <w:proofErr w:type="spellEnd"/>
      <w:r>
        <w:rPr>
          <w:i/>
          <w:iCs/>
          <w:lang w:eastAsia="zh-CN"/>
        </w:rPr>
        <w:t xml:space="preserve"> when SystemInformationBlockType31 is provided through dedicated signalling.</w:t>
      </w:r>
    </w:p>
    <w:p w14:paraId="73E3232A" w14:textId="77777777" w:rsidR="00350354" w:rsidRDefault="00350354" w:rsidP="00350354">
      <w:pPr>
        <w:tabs>
          <w:tab w:val="num" w:pos="360"/>
        </w:tabs>
        <w:rPr>
          <w:i/>
          <w:iCs/>
          <w:lang w:eastAsia="zh-CN"/>
        </w:rPr>
      </w:pPr>
      <w:r>
        <w:rPr>
          <w:i/>
          <w:iCs/>
          <w:lang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6BC8F7F8" w14:textId="77777777" w:rsidR="00350354" w:rsidRDefault="00350354" w:rsidP="00350354">
      <w:pPr>
        <w:tabs>
          <w:tab w:val="num" w:pos="360"/>
        </w:tabs>
        <w:rPr>
          <w:i/>
          <w:iCs/>
          <w:lang w:eastAsia="zh-CN"/>
        </w:rPr>
      </w:pPr>
      <w:r>
        <w:rPr>
          <w:i/>
          <w:iCs/>
          <w:lang w:eastAsia="zh-CN"/>
        </w:rPr>
        <w:t>Updates to serving cell ephemeris information are not bound to the BCCH modification period.</w:t>
      </w:r>
    </w:p>
    <w:p w14:paraId="7AD02AFE" w14:textId="77777777" w:rsidR="00350354" w:rsidRDefault="00350354" w:rsidP="00350354">
      <w:pPr>
        <w:jc w:val="both"/>
      </w:pPr>
      <w:r>
        <w:lastRenderedPageBreak/>
        <w:t xml:space="preserve">Both eMTC and NB-IoT allow SIB repetitions within an SI window. The SI window configuration details for eMTC and NB-IoT are provided in </w:t>
      </w:r>
      <w:r>
        <w:fldChar w:fldCharType="begin"/>
      </w:r>
      <w:r>
        <w:instrText xml:space="preserve"> REF _Ref101589605 \h  \* MERGEFORMAT </w:instrText>
      </w:r>
      <w:r>
        <w:fldChar w:fldCharType="separate"/>
      </w:r>
      <w:r>
        <w:t xml:space="preserve">Table </w:t>
      </w:r>
      <w:r>
        <w:rPr>
          <w:noProof/>
        </w:rPr>
        <w:t>1</w:t>
      </w:r>
      <w:r>
        <w:fldChar w:fldCharType="end"/>
      </w:r>
      <w:r>
        <w:t xml:space="preserve">. Additionally, the legacy eMTC/NB-IoT UEs can accumulate SIBs across multiple SI windows if needed for decoding (except for the SIBs that change frequently such as SIB16). </w:t>
      </w:r>
    </w:p>
    <w:p w14:paraId="1F0E44EB" w14:textId="77777777" w:rsidR="00350354" w:rsidRDefault="00350354" w:rsidP="00350354">
      <w:pPr>
        <w:pStyle w:val="Caption"/>
        <w:keepNext/>
        <w:jc w:val="center"/>
      </w:pPr>
      <w:bookmarkStart w:id="8" w:name="_Ref101589605"/>
      <w:r>
        <w:t xml:space="preserve">Table </w:t>
      </w:r>
      <w:r>
        <w:fldChar w:fldCharType="begin"/>
      </w:r>
      <w:r>
        <w:instrText>SEQ Table \* ARABIC</w:instrText>
      </w:r>
      <w:r>
        <w:fldChar w:fldCharType="separate"/>
      </w:r>
      <w:r>
        <w:rPr>
          <w:noProof/>
        </w:rPr>
        <w:t>1</w:t>
      </w:r>
      <w:r>
        <w:fldChar w:fldCharType="end"/>
      </w:r>
      <w:bookmarkEnd w:id="8"/>
      <w:r>
        <w:t xml:space="preserve"> SI window configuration parameters for eMTC and NB-IoT.</w:t>
      </w:r>
    </w:p>
    <w:tbl>
      <w:tblPr>
        <w:tblStyle w:val="TableGrid"/>
        <w:tblW w:w="0" w:type="auto"/>
        <w:jc w:val="center"/>
        <w:tblLook w:val="04A0" w:firstRow="1" w:lastRow="0" w:firstColumn="1" w:lastColumn="0" w:noHBand="0" w:noVBand="1"/>
      </w:tblPr>
      <w:tblGrid>
        <w:gridCol w:w="1925"/>
        <w:gridCol w:w="1926"/>
        <w:gridCol w:w="1926"/>
        <w:gridCol w:w="1926"/>
      </w:tblGrid>
      <w:tr w:rsidR="00350354" w14:paraId="09C814D7" w14:textId="77777777" w:rsidTr="00350354">
        <w:trPr>
          <w:jc w:val="center"/>
        </w:trPr>
        <w:tc>
          <w:tcPr>
            <w:tcW w:w="1925" w:type="dxa"/>
            <w:tcBorders>
              <w:top w:val="single" w:sz="4" w:space="0" w:color="auto"/>
              <w:left w:val="single" w:sz="4" w:space="0" w:color="auto"/>
              <w:bottom w:val="single" w:sz="4" w:space="0" w:color="auto"/>
              <w:right w:val="single" w:sz="4" w:space="0" w:color="auto"/>
            </w:tcBorders>
          </w:tcPr>
          <w:p w14:paraId="01769B8E" w14:textId="77777777" w:rsidR="00350354" w:rsidRDefault="00350354">
            <w:pPr>
              <w:rPr>
                <w:lang w:val="de-DE"/>
              </w:rPr>
            </w:pPr>
          </w:p>
        </w:tc>
        <w:tc>
          <w:tcPr>
            <w:tcW w:w="1926" w:type="dxa"/>
            <w:tcBorders>
              <w:top w:val="single" w:sz="4" w:space="0" w:color="auto"/>
              <w:left w:val="single" w:sz="4" w:space="0" w:color="auto"/>
              <w:bottom w:val="single" w:sz="4" w:space="0" w:color="auto"/>
              <w:right w:val="single" w:sz="4" w:space="0" w:color="auto"/>
            </w:tcBorders>
            <w:hideMark/>
          </w:tcPr>
          <w:p w14:paraId="3E3A4232" w14:textId="77777777" w:rsidR="00350354" w:rsidRDefault="00350354">
            <w:r>
              <w:t>SI window length</w:t>
            </w:r>
          </w:p>
        </w:tc>
        <w:tc>
          <w:tcPr>
            <w:tcW w:w="1926" w:type="dxa"/>
            <w:tcBorders>
              <w:top w:val="single" w:sz="4" w:space="0" w:color="auto"/>
              <w:left w:val="single" w:sz="4" w:space="0" w:color="auto"/>
              <w:bottom w:val="single" w:sz="4" w:space="0" w:color="auto"/>
              <w:right w:val="single" w:sz="4" w:space="0" w:color="auto"/>
            </w:tcBorders>
            <w:hideMark/>
          </w:tcPr>
          <w:p w14:paraId="5C0A4710" w14:textId="77777777" w:rsidR="00350354" w:rsidRDefault="00350354">
            <w:r>
              <w:t>Repetition pattern within SI window</w:t>
            </w:r>
          </w:p>
        </w:tc>
        <w:tc>
          <w:tcPr>
            <w:tcW w:w="1926" w:type="dxa"/>
            <w:tcBorders>
              <w:top w:val="single" w:sz="4" w:space="0" w:color="auto"/>
              <w:left w:val="single" w:sz="4" w:space="0" w:color="auto"/>
              <w:bottom w:val="single" w:sz="4" w:space="0" w:color="auto"/>
              <w:right w:val="single" w:sz="4" w:space="0" w:color="auto"/>
            </w:tcBorders>
            <w:hideMark/>
          </w:tcPr>
          <w:p w14:paraId="11552062" w14:textId="77777777" w:rsidR="00350354" w:rsidRDefault="00350354">
            <w:r>
              <w:t>SI periodicity</w:t>
            </w:r>
          </w:p>
        </w:tc>
      </w:tr>
      <w:tr w:rsidR="00350354" w14:paraId="00104F39" w14:textId="77777777" w:rsidTr="00350354">
        <w:trPr>
          <w:jc w:val="center"/>
        </w:trPr>
        <w:tc>
          <w:tcPr>
            <w:tcW w:w="1925" w:type="dxa"/>
            <w:tcBorders>
              <w:top w:val="single" w:sz="4" w:space="0" w:color="auto"/>
              <w:left w:val="single" w:sz="4" w:space="0" w:color="auto"/>
              <w:bottom w:val="single" w:sz="4" w:space="0" w:color="auto"/>
              <w:right w:val="single" w:sz="4" w:space="0" w:color="auto"/>
            </w:tcBorders>
            <w:hideMark/>
          </w:tcPr>
          <w:p w14:paraId="5BD42949" w14:textId="77777777" w:rsidR="00350354" w:rsidRDefault="00350354">
            <w:r>
              <w:t>eMTC</w:t>
            </w:r>
          </w:p>
        </w:tc>
        <w:tc>
          <w:tcPr>
            <w:tcW w:w="1926" w:type="dxa"/>
            <w:tcBorders>
              <w:top w:val="single" w:sz="4" w:space="0" w:color="auto"/>
              <w:left w:val="single" w:sz="4" w:space="0" w:color="auto"/>
              <w:bottom w:val="single" w:sz="4" w:space="0" w:color="auto"/>
              <w:right w:val="single" w:sz="4" w:space="0" w:color="auto"/>
            </w:tcBorders>
            <w:hideMark/>
          </w:tcPr>
          <w:p w14:paraId="7540C3A9" w14:textId="77777777" w:rsidR="00350354" w:rsidRDefault="00350354">
            <w:r>
              <w:t xml:space="preserve">{1, 2, 5, 10, 15, 20, 40, 60, 80, 120, 160, 200} </w:t>
            </w:r>
            <w:proofErr w:type="spellStart"/>
            <w:r>
              <w:t>ms</w:t>
            </w:r>
            <w:proofErr w:type="spellEnd"/>
          </w:p>
        </w:tc>
        <w:tc>
          <w:tcPr>
            <w:tcW w:w="1926" w:type="dxa"/>
            <w:tcBorders>
              <w:top w:val="single" w:sz="4" w:space="0" w:color="auto"/>
              <w:left w:val="single" w:sz="4" w:space="0" w:color="auto"/>
              <w:bottom w:val="single" w:sz="4" w:space="0" w:color="auto"/>
              <w:right w:val="single" w:sz="4" w:space="0" w:color="auto"/>
            </w:tcBorders>
            <w:hideMark/>
          </w:tcPr>
          <w:p w14:paraId="509F2B0C" w14:textId="77777777" w:rsidR="00350354" w:rsidRDefault="00350354">
            <w:r>
              <w:t>Every radio frame or every {2nd, 4th, 8th} radio frame</w:t>
            </w:r>
          </w:p>
        </w:tc>
        <w:tc>
          <w:tcPr>
            <w:tcW w:w="1926" w:type="dxa"/>
            <w:tcBorders>
              <w:top w:val="single" w:sz="4" w:space="0" w:color="auto"/>
              <w:left w:val="single" w:sz="4" w:space="0" w:color="auto"/>
              <w:bottom w:val="single" w:sz="4" w:space="0" w:color="auto"/>
              <w:right w:val="single" w:sz="4" w:space="0" w:color="auto"/>
            </w:tcBorders>
            <w:hideMark/>
          </w:tcPr>
          <w:p w14:paraId="0543408F" w14:textId="77777777" w:rsidR="00350354" w:rsidRDefault="00350354">
            <w:r>
              <w:rPr>
                <w:lang w:eastAsia="en-GB"/>
              </w:rPr>
              <w:t>{8, 16, 32, 64, 128, 256, 512} radio frames</w:t>
            </w:r>
          </w:p>
        </w:tc>
      </w:tr>
      <w:tr w:rsidR="00350354" w14:paraId="21B6DB42" w14:textId="77777777" w:rsidTr="00350354">
        <w:trPr>
          <w:jc w:val="center"/>
        </w:trPr>
        <w:tc>
          <w:tcPr>
            <w:tcW w:w="1925" w:type="dxa"/>
            <w:tcBorders>
              <w:top w:val="single" w:sz="4" w:space="0" w:color="auto"/>
              <w:left w:val="single" w:sz="4" w:space="0" w:color="auto"/>
              <w:bottom w:val="single" w:sz="4" w:space="0" w:color="auto"/>
              <w:right w:val="single" w:sz="4" w:space="0" w:color="auto"/>
            </w:tcBorders>
            <w:hideMark/>
          </w:tcPr>
          <w:p w14:paraId="0CBBE3B3" w14:textId="77777777" w:rsidR="00350354" w:rsidRDefault="00350354">
            <w:r>
              <w:t>NB-IoT</w:t>
            </w:r>
          </w:p>
        </w:tc>
        <w:tc>
          <w:tcPr>
            <w:tcW w:w="1926" w:type="dxa"/>
            <w:tcBorders>
              <w:top w:val="single" w:sz="4" w:space="0" w:color="auto"/>
              <w:left w:val="single" w:sz="4" w:space="0" w:color="auto"/>
              <w:bottom w:val="single" w:sz="4" w:space="0" w:color="auto"/>
              <w:right w:val="single" w:sz="4" w:space="0" w:color="auto"/>
            </w:tcBorders>
            <w:hideMark/>
          </w:tcPr>
          <w:p w14:paraId="1F1B0107" w14:textId="77777777" w:rsidR="00350354" w:rsidRDefault="00350354">
            <w:r>
              <w:t xml:space="preserve">{160, 320, 480, 640, 960, 1280, 1600} </w:t>
            </w:r>
            <w:proofErr w:type="spellStart"/>
            <w:r>
              <w:t>ms</w:t>
            </w:r>
            <w:proofErr w:type="spellEnd"/>
          </w:p>
        </w:tc>
        <w:tc>
          <w:tcPr>
            <w:tcW w:w="1926" w:type="dxa"/>
            <w:tcBorders>
              <w:top w:val="single" w:sz="4" w:space="0" w:color="auto"/>
              <w:left w:val="single" w:sz="4" w:space="0" w:color="auto"/>
              <w:bottom w:val="single" w:sz="4" w:space="0" w:color="auto"/>
              <w:right w:val="single" w:sz="4" w:space="0" w:color="auto"/>
            </w:tcBorders>
            <w:hideMark/>
          </w:tcPr>
          <w:p w14:paraId="6A03371C" w14:textId="77777777" w:rsidR="00350354" w:rsidRDefault="00350354">
            <w:r>
              <w:t>Every {2nd, 4th, 8th, 16th} radio frame</w:t>
            </w:r>
          </w:p>
        </w:tc>
        <w:tc>
          <w:tcPr>
            <w:tcW w:w="1926" w:type="dxa"/>
            <w:tcBorders>
              <w:top w:val="single" w:sz="4" w:space="0" w:color="auto"/>
              <w:left w:val="single" w:sz="4" w:space="0" w:color="auto"/>
              <w:bottom w:val="single" w:sz="4" w:space="0" w:color="auto"/>
              <w:right w:val="single" w:sz="4" w:space="0" w:color="auto"/>
            </w:tcBorders>
            <w:hideMark/>
          </w:tcPr>
          <w:p w14:paraId="1866256F" w14:textId="77777777" w:rsidR="00350354" w:rsidRDefault="00350354">
            <w:r>
              <w:t>{64, 128, 256, 512, 1024, 2048, 4096} radio frames</w:t>
            </w:r>
          </w:p>
        </w:tc>
      </w:tr>
    </w:tbl>
    <w:p w14:paraId="66EF9F53" w14:textId="039548C5" w:rsidR="00A16361" w:rsidRDefault="00A16361">
      <w:pPr>
        <w:rPr>
          <w:lang w:eastAsia="ja-JP"/>
        </w:rPr>
      </w:pPr>
    </w:p>
    <w:p w14:paraId="11C03023" w14:textId="77777777" w:rsidR="00A16361" w:rsidRDefault="00A805D7">
      <w:pPr>
        <w:pStyle w:val="Heading2"/>
        <w:rPr>
          <w:lang w:eastAsia="zh-CN"/>
        </w:rPr>
      </w:pPr>
      <w:r>
        <w:rPr>
          <w:lang w:eastAsia="zh-CN"/>
        </w:rPr>
        <w:t>Company views</w:t>
      </w:r>
    </w:p>
    <w:p w14:paraId="509ECD24" w14:textId="77777777" w:rsidR="009D054E" w:rsidRDefault="009D054E" w:rsidP="009D054E">
      <w:pPr>
        <w:rPr>
          <w:lang w:eastAsia="ja-JP"/>
        </w:rPr>
      </w:pPr>
      <w:r>
        <w:rPr>
          <w:lang w:eastAsia="ja-JP"/>
        </w:rPr>
        <w:t xml:space="preserve">Ericsson provided some analysis to show that in eMTC/NB-IoT NTN, there are numerous configurations of the SI window periodicity and the validity timer duration for which the NTN SIB may remain unchanged over many SI windows and can therefore be accumulated. Without NTN SIB accumulation across SI windows, the network may need to configure longer SI windows to support a larger number of repetitions, resulting in a high signalling overhead. If the network optionally signals in SIB1 assistance information such as whether SIB accumulation is prohibited or not, and/or the number of SI windows that can be accumulated, or the H-SFN number for the explicit epoch time to extend its range, or the explicit time (e.g., subframe, SFN, H-SFN) until the NTN SIB remains unchanged, it can help optimize the UE </w:t>
      </w:r>
      <w:proofErr w:type="spellStart"/>
      <w:r>
        <w:rPr>
          <w:lang w:eastAsia="ja-JP"/>
        </w:rPr>
        <w:t>behavior</w:t>
      </w:r>
      <w:proofErr w:type="spellEnd"/>
      <w:r>
        <w:rPr>
          <w:lang w:eastAsia="ja-JP"/>
        </w:rPr>
        <w:t xml:space="preserve"> as the UE will know when to stop attempting to decode the SIB. Moreover, it can also extend the epoch timer range which in turn can make SIB accumulation feasible even for larger SI periodicities.  </w:t>
      </w:r>
    </w:p>
    <w:p w14:paraId="7730AEEC" w14:textId="77777777" w:rsidR="009D054E" w:rsidRDefault="009D054E" w:rsidP="009D054E">
      <w:pPr>
        <w:rPr>
          <w:lang w:eastAsia="ja-JP"/>
        </w:rPr>
      </w:pPr>
      <w:r>
        <w:rPr>
          <w:lang w:eastAsia="ja-JP"/>
        </w:rPr>
        <w:t>Ericsson proposed the following:</w:t>
      </w:r>
    </w:p>
    <w:p w14:paraId="21B39390" w14:textId="77777777" w:rsidR="009D054E" w:rsidRDefault="009D054E" w:rsidP="009D054E">
      <w:pPr>
        <w:pStyle w:val="ListParagraph"/>
        <w:numPr>
          <w:ilvl w:val="0"/>
          <w:numId w:val="18"/>
        </w:numPr>
        <w:tabs>
          <w:tab w:val="num" w:pos="360"/>
        </w:tabs>
        <w:rPr>
          <w:lang w:eastAsia="ja-JP"/>
        </w:rPr>
      </w:pPr>
      <w:r>
        <w:rPr>
          <w:lang w:eastAsia="ja-JP"/>
        </w:rPr>
        <w:t>Network to optionally indicate if NTN SIB accumulation across SI windows is allowed or not.</w:t>
      </w:r>
    </w:p>
    <w:p w14:paraId="0130D0A9" w14:textId="77777777" w:rsidR="009D054E" w:rsidRDefault="009D054E" w:rsidP="009D054E">
      <w:pPr>
        <w:pStyle w:val="ListParagraph"/>
        <w:numPr>
          <w:ilvl w:val="0"/>
          <w:numId w:val="18"/>
        </w:numPr>
        <w:tabs>
          <w:tab w:val="num" w:pos="360"/>
        </w:tabs>
        <w:rPr>
          <w:lang w:eastAsia="ja-JP"/>
        </w:rPr>
      </w:pPr>
      <w:r>
        <w:rPr>
          <w:lang w:eastAsia="ja-JP"/>
        </w:rPr>
        <w:t>For eMTC NTN with explicit epoch time indication, without introducing additional signalling, support NTN SIB accumulation at least for the following SI periodicities: {8, 16, 32, 64,128} frames</w:t>
      </w:r>
    </w:p>
    <w:p w14:paraId="3A64AEF0" w14:textId="77777777" w:rsidR="006010BC" w:rsidRDefault="006010BC" w:rsidP="006010BC">
      <w:pPr>
        <w:pStyle w:val="ListParagraph"/>
        <w:numPr>
          <w:ilvl w:val="0"/>
          <w:numId w:val="18"/>
        </w:numPr>
        <w:tabs>
          <w:tab w:val="num" w:pos="360"/>
        </w:tabs>
        <w:rPr>
          <w:lang w:eastAsia="ja-JP"/>
        </w:rPr>
      </w:pPr>
      <w:r>
        <w:t>For NB-IoT NTN with explicit epoch time indication, without introducing additional signalling, support NTN SIB accumulation at least for the following SI periodicities: {64,128} frames.</w:t>
      </w:r>
    </w:p>
    <w:p w14:paraId="48C19299" w14:textId="229C9279" w:rsidR="009D054E" w:rsidRDefault="009D054E" w:rsidP="009D054E">
      <w:pPr>
        <w:pStyle w:val="ListParagraph"/>
        <w:numPr>
          <w:ilvl w:val="0"/>
          <w:numId w:val="18"/>
        </w:numPr>
        <w:tabs>
          <w:tab w:val="num" w:pos="360"/>
        </w:tabs>
        <w:rPr>
          <w:lang w:eastAsia="ja-JP"/>
        </w:rPr>
      </w:pPr>
      <w:r>
        <w:rPr>
          <w:lang w:eastAsia="ja-JP"/>
        </w:rPr>
        <w:t xml:space="preserve">For explicit epoch time indication, introducing additional signalling can help extend the SIB accumulation to even larger SI periodicities and/or optimize the UE </w:t>
      </w:r>
      <w:proofErr w:type="spellStart"/>
      <w:r>
        <w:rPr>
          <w:lang w:eastAsia="ja-JP"/>
        </w:rPr>
        <w:t>behavior</w:t>
      </w:r>
      <w:proofErr w:type="spellEnd"/>
      <w:r>
        <w:rPr>
          <w:lang w:eastAsia="ja-JP"/>
        </w:rPr>
        <w:t xml:space="preserve"> regarding SIB accumulation</w:t>
      </w:r>
    </w:p>
    <w:p w14:paraId="6BABF336" w14:textId="7303D934" w:rsidR="006010BC" w:rsidRDefault="006010BC" w:rsidP="006010BC">
      <w:pPr>
        <w:pStyle w:val="ListParagraph"/>
        <w:numPr>
          <w:ilvl w:val="0"/>
          <w:numId w:val="18"/>
        </w:numPr>
        <w:tabs>
          <w:tab w:val="num" w:pos="360"/>
        </w:tabs>
        <w:rPr>
          <w:lang w:eastAsia="ja-JP"/>
        </w:rPr>
      </w:pPr>
      <w:r>
        <w:t>For IoT NTN, adopt the same definition for validity of assistance information as for NR NTN.</w:t>
      </w:r>
    </w:p>
    <w:p w14:paraId="5D6BF5F7" w14:textId="4179F5D3" w:rsidR="006010BC" w:rsidRDefault="006010BC">
      <w:pPr>
        <w:pStyle w:val="ListParagraph"/>
        <w:spacing w:beforeLines="50" w:before="120" w:afterLines="50" w:after="120"/>
        <w:ind w:left="0"/>
        <w:jc w:val="both"/>
        <w:rPr>
          <w:rFonts w:eastAsia="SimSun"/>
          <w:lang w:eastAsia="zh-CN"/>
        </w:rPr>
      </w:pPr>
      <w:r w:rsidRPr="006010BC">
        <w:rPr>
          <w:rFonts w:eastAsia="SimSun"/>
          <w:lang w:eastAsia="zh-CN"/>
        </w:rPr>
        <w:t>Nokia proposed in R1-</w:t>
      </w:r>
      <w:proofErr w:type="gramStart"/>
      <w:r w:rsidRPr="006010BC">
        <w:rPr>
          <w:rFonts w:eastAsia="SimSun"/>
          <w:lang w:eastAsia="zh-CN"/>
        </w:rPr>
        <w:t>2209244  Only</w:t>
      </w:r>
      <w:proofErr w:type="gramEnd"/>
      <w:r w:rsidRPr="006010BC">
        <w:rPr>
          <w:rFonts w:eastAsia="SimSun"/>
          <w:lang w:eastAsia="zh-CN"/>
        </w:rPr>
        <w:t xml:space="preserve"> explicit </w:t>
      </w:r>
      <w:proofErr w:type="spellStart"/>
      <w:r w:rsidRPr="006010BC">
        <w:rPr>
          <w:rFonts w:eastAsia="SimSun"/>
          <w:lang w:eastAsia="zh-CN"/>
        </w:rPr>
        <w:t>signaling</w:t>
      </w:r>
      <w:proofErr w:type="spellEnd"/>
      <w:r w:rsidRPr="006010BC">
        <w:rPr>
          <w:rFonts w:eastAsia="SimSun"/>
          <w:lang w:eastAsia="zh-CN"/>
        </w:rPr>
        <w:t xml:space="preserve"> of Epoch time for assistance information shall be specified for IoT NTN and RAN1 send LS to RAN2 to update SIB31 description in RRC specification to make the </w:t>
      </w:r>
      <w:proofErr w:type="spellStart"/>
      <w:r w:rsidRPr="006010BC">
        <w:rPr>
          <w:rFonts w:eastAsia="SimSun"/>
          <w:lang w:eastAsia="zh-CN"/>
        </w:rPr>
        <w:t>epochTime</w:t>
      </w:r>
      <w:proofErr w:type="spellEnd"/>
      <w:r w:rsidRPr="006010BC">
        <w:rPr>
          <w:rFonts w:eastAsia="SimSun"/>
          <w:lang w:eastAsia="zh-CN"/>
        </w:rPr>
        <w:t xml:space="preserve"> a mandatory field.</w:t>
      </w:r>
    </w:p>
    <w:p w14:paraId="7ED8676E" w14:textId="77777777" w:rsidR="006010BC" w:rsidRDefault="006010BC">
      <w:pPr>
        <w:pStyle w:val="ListParagraph"/>
        <w:spacing w:beforeLines="50" w:before="120" w:afterLines="50" w:after="120"/>
        <w:ind w:left="0"/>
        <w:jc w:val="both"/>
        <w:rPr>
          <w:rFonts w:eastAsia="SimSun"/>
          <w:lang w:eastAsia="zh-CN"/>
        </w:rPr>
      </w:pPr>
    </w:p>
    <w:p w14:paraId="3E8B81E4" w14:textId="77777777" w:rsidR="009D054E" w:rsidRDefault="009D054E" w:rsidP="009D054E">
      <w:pPr>
        <w:rPr>
          <w:lang w:eastAsia="ja-JP"/>
        </w:rPr>
      </w:pPr>
      <w:r>
        <w:rPr>
          <w:b/>
          <w:bCs/>
          <w:highlight w:val="yellow"/>
          <w:lang w:eastAsia="ja-JP"/>
        </w:rPr>
        <w:t>Moderator view</w:t>
      </w:r>
      <w:r>
        <w:rPr>
          <w:lang w:eastAsia="ja-JP"/>
        </w:rPr>
        <w:t xml:space="preserve">: As was discussed and captured in FL summary in RAN1#110 and summarised above, RAN2 has specified </w:t>
      </w:r>
      <w:bookmarkStart w:id="9" w:name="_Hlk116037598"/>
      <w:r>
        <w:rPr>
          <w:lang w:eastAsia="ja-JP"/>
        </w:rPr>
        <w:t>signalling for implicit Epoch time</w:t>
      </w:r>
      <w:bookmarkEnd w:id="9"/>
      <w:r>
        <w:rPr>
          <w:lang w:eastAsia="ja-JP"/>
        </w:rPr>
        <w:t xml:space="preserve">. This implies that SIB accumulation is not supported in Rel-17 since updating to serving cell ephemeris information does not affect the system information value. When epoch time is not explicitly indicated, the UE uses the starting time of the DL subframe corresponding to the end of the SI window during which the SI message carrying SIB31 is transmitted.  SIB accumulation across SI windows is new functionality. There was no consensus in RAN1 that it is essential to specify SIB accumulation. It is not essential to </w:t>
      </w:r>
      <w:proofErr w:type="spellStart"/>
      <w:r>
        <w:rPr>
          <w:lang w:eastAsia="ja-JP"/>
        </w:rPr>
        <w:t>specifiy</w:t>
      </w:r>
      <w:proofErr w:type="spellEnd"/>
      <w:r>
        <w:rPr>
          <w:lang w:eastAsia="ja-JP"/>
        </w:rPr>
        <w:t xml:space="preserve"> SIB accumulation across SI windows.</w:t>
      </w:r>
    </w:p>
    <w:p w14:paraId="29D9829A" w14:textId="77777777" w:rsidR="009D054E" w:rsidRDefault="009D054E">
      <w:pPr>
        <w:pStyle w:val="ListParagraph"/>
        <w:spacing w:beforeLines="50" w:before="120" w:afterLines="50" w:after="120"/>
        <w:ind w:left="0"/>
        <w:jc w:val="both"/>
        <w:rPr>
          <w:rFonts w:eastAsia="SimSun"/>
          <w:lang w:eastAsia="zh-CN"/>
        </w:rPr>
      </w:pPr>
    </w:p>
    <w:p w14:paraId="1140A045" w14:textId="66105125" w:rsidR="00A16361" w:rsidRDefault="00A805D7">
      <w:pPr>
        <w:pStyle w:val="Heading2"/>
        <w:rPr>
          <w:lang w:eastAsia="zh-CN"/>
        </w:rPr>
      </w:pPr>
      <w:r>
        <w:rPr>
          <w:lang w:eastAsia="zh-CN"/>
        </w:rPr>
        <w:lastRenderedPageBreak/>
        <w:t xml:space="preserve">FL </w:t>
      </w:r>
      <w:r w:rsidR="009D054E">
        <w:rPr>
          <w:lang w:eastAsia="zh-CN"/>
        </w:rPr>
        <w:t>Recommendation</w:t>
      </w:r>
    </w:p>
    <w:p w14:paraId="06BB38B1" w14:textId="45FCEC08" w:rsidR="009D054E" w:rsidRPr="00710D3B" w:rsidRDefault="009D054E">
      <w:pPr>
        <w:pStyle w:val="BodyText"/>
        <w:rPr>
          <w:i/>
          <w:iCs/>
        </w:rPr>
      </w:pPr>
      <w:r w:rsidRPr="00710D3B">
        <w:rPr>
          <w:b/>
          <w:bCs/>
          <w:i/>
          <w:iCs/>
          <w:highlight w:val="yellow"/>
        </w:rPr>
        <w:t>FL recommendation</w:t>
      </w:r>
      <w:r w:rsidRPr="00710D3B">
        <w:rPr>
          <w:i/>
          <w:iCs/>
        </w:rPr>
        <w:t xml:space="preserve">: </w:t>
      </w:r>
      <w:r w:rsidR="00710D3B" w:rsidRPr="00710D3B">
        <w:rPr>
          <w:i/>
          <w:iCs/>
        </w:rPr>
        <w:t xml:space="preserve">RAN2 specification for signalling for implicit Epoch time is sufficient. Additional signalling to extend the SIB accumulation Extension for explicit signalling is out of scope of maintenance phase. </w:t>
      </w:r>
      <w:r w:rsidRPr="00710D3B">
        <w:rPr>
          <w:i/>
          <w:iCs/>
        </w:rPr>
        <w:t xml:space="preserve">SIB </w:t>
      </w:r>
      <w:proofErr w:type="spellStart"/>
      <w:proofErr w:type="gramStart"/>
      <w:r w:rsidRPr="00710D3B">
        <w:rPr>
          <w:i/>
          <w:iCs/>
        </w:rPr>
        <w:t>Accummulation</w:t>
      </w:r>
      <w:proofErr w:type="spellEnd"/>
      <w:r w:rsidR="00710D3B" w:rsidRPr="00710D3B">
        <w:rPr>
          <w:i/>
          <w:iCs/>
        </w:rPr>
        <w:t xml:space="preserve"> </w:t>
      </w:r>
      <w:r w:rsidRPr="00710D3B">
        <w:rPr>
          <w:i/>
          <w:iCs/>
        </w:rPr>
        <w:t xml:space="preserve"> is</w:t>
      </w:r>
      <w:proofErr w:type="gramEnd"/>
      <w:r w:rsidRPr="00710D3B">
        <w:rPr>
          <w:i/>
          <w:iCs/>
        </w:rPr>
        <w:t xml:space="preserve"> de-prioritised in Rel-17.</w:t>
      </w:r>
    </w:p>
    <w:p w14:paraId="118E0F9E" w14:textId="77777777" w:rsidR="009D054E" w:rsidRDefault="009D054E">
      <w:pPr>
        <w:pStyle w:val="BodyText"/>
      </w:pPr>
    </w:p>
    <w:p w14:paraId="10744B23" w14:textId="77777777" w:rsidR="00A16361" w:rsidRDefault="00A16361">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608CF798" w14:textId="77777777">
        <w:trPr>
          <w:trHeight w:val="398"/>
          <w:jc w:val="center"/>
        </w:trPr>
        <w:tc>
          <w:tcPr>
            <w:tcW w:w="2547" w:type="dxa"/>
            <w:shd w:val="clear" w:color="auto" w:fill="auto"/>
            <w:vAlign w:val="center"/>
          </w:tcPr>
          <w:p w14:paraId="58733263" w14:textId="77777777" w:rsidR="00A16361" w:rsidRDefault="00A805D7">
            <w:pPr>
              <w:snapToGrid w:val="0"/>
              <w:spacing w:after="0"/>
              <w:jc w:val="center"/>
            </w:pPr>
            <w:r>
              <w:t>Companies</w:t>
            </w:r>
          </w:p>
        </w:tc>
        <w:tc>
          <w:tcPr>
            <w:tcW w:w="8080" w:type="dxa"/>
            <w:shd w:val="clear" w:color="auto" w:fill="auto"/>
            <w:vAlign w:val="center"/>
          </w:tcPr>
          <w:p w14:paraId="5660F467" w14:textId="77777777" w:rsidR="00A16361" w:rsidRDefault="00A805D7">
            <w:pPr>
              <w:snapToGrid w:val="0"/>
              <w:spacing w:after="0"/>
              <w:jc w:val="center"/>
            </w:pPr>
            <w:r>
              <w:t>Comments</w:t>
            </w:r>
          </w:p>
        </w:tc>
      </w:tr>
      <w:tr w:rsidR="00A16361" w14:paraId="32CBA8A7" w14:textId="77777777">
        <w:trPr>
          <w:trHeight w:val="398"/>
          <w:jc w:val="center"/>
        </w:trPr>
        <w:tc>
          <w:tcPr>
            <w:tcW w:w="2547" w:type="dxa"/>
            <w:shd w:val="clear" w:color="auto" w:fill="auto"/>
            <w:vAlign w:val="center"/>
          </w:tcPr>
          <w:p w14:paraId="1B037CCE" w14:textId="76FD9281" w:rsidR="00A16361" w:rsidRDefault="00E96F96">
            <w:pPr>
              <w:snapToGrid w:val="0"/>
              <w:spacing w:after="0"/>
              <w:rPr>
                <w:lang w:eastAsia="zh-CN"/>
              </w:rPr>
            </w:pPr>
            <w:r>
              <w:rPr>
                <w:lang w:eastAsia="zh-CN"/>
              </w:rPr>
              <w:t>Lenovo</w:t>
            </w:r>
          </w:p>
        </w:tc>
        <w:tc>
          <w:tcPr>
            <w:tcW w:w="8080" w:type="dxa"/>
            <w:vAlign w:val="center"/>
          </w:tcPr>
          <w:p w14:paraId="3ED2A9DF" w14:textId="1E09AA39" w:rsidR="00A16361" w:rsidRDefault="00E96F96">
            <w:pPr>
              <w:pStyle w:val="Eqn"/>
              <w:rPr>
                <w:sz w:val="20"/>
                <w:szCs w:val="20"/>
              </w:rPr>
            </w:pPr>
            <w:r>
              <w:rPr>
                <w:lang w:eastAsia="zh-CN"/>
              </w:rPr>
              <w:t>Support FL recommendation.</w:t>
            </w:r>
          </w:p>
        </w:tc>
      </w:tr>
      <w:tr w:rsidR="00A16361" w14:paraId="382339C5" w14:textId="77777777">
        <w:trPr>
          <w:trHeight w:val="398"/>
          <w:jc w:val="center"/>
        </w:trPr>
        <w:tc>
          <w:tcPr>
            <w:tcW w:w="2547" w:type="dxa"/>
            <w:shd w:val="clear" w:color="auto" w:fill="auto"/>
            <w:vAlign w:val="center"/>
          </w:tcPr>
          <w:p w14:paraId="4A11E3F0" w14:textId="047A989C" w:rsidR="00A16361" w:rsidRDefault="00744CB4">
            <w:pPr>
              <w:snapToGrid w:val="0"/>
              <w:spacing w:after="0"/>
              <w:rPr>
                <w:rFonts w:eastAsiaTheme="minorEastAsia"/>
                <w:lang w:eastAsia="zh-CN"/>
              </w:rPr>
            </w:pPr>
            <w:r>
              <w:rPr>
                <w:rFonts w:eastAsiaTheme="minorEastAsia"/>
                <w:lang w:eastAsia="zh-CN"/>
              </w:rPr>
              <w:t>Ericsson</w:t>
            </w:r>
          </w:p>
        </w:tc>
        <w:tc>
          <w:tcPr>
            <w:tcW w:w="8080" w:type="dxa"/>
            <w:vAlign w:val="center"/>
          </w:tcPr>
          <w:p w14:paraId="4C54609E" w14:textId="659F0584" w:rsidR="00744CB4" w:rsidRPr="00C12C3D" w:rsidRDefault="00744CB4">
            <w:pPr>
              <w:pStyle w:val="Eqn"/>
              <w:rPr>
                <w:color w:val="000000" w:themeColor="text1"/>
              </w:rPr>
            </w:pPr>
            <w:r w:rsidRPr="00C12C3D">
              <w:rPr>
                <w:color w:val="C00000"/>
                <w:lang w:eastAsia="zh-CN"/>
              </w:rPr>
              <w:t xml:space="preserve">We strongly disagree with the moderators’ observation that </w:t>
            </w:r>
            <w:r w:rsidRPr="00C12C3D">
              <w:rPr>
                <w:color w:val="595959" w:themeColor="text1" w:themeTint="A6"/>
                <w:lang w:eastAsia="zh-CN"/>
              </w:rPr>
              <w:t>“</w:t>
            </w:r>
            <w:r w:rsidRPr="00C12C3D">
              <w:rPr>
                <w:color w:val="595959" w:themeColor="text1" w:themeTint="A6"/>
              </w:rPr>
              <w:t>SIB accumulation across SI windows is new functionality”</w:t>
            </w:r>
            <w:r w:rsidRPr="00744CB4">
              <w:rPr>
                <w:color w:val="365F91" w:themeColor="accent1" w:themeShade="BF"/>
              </w:rPr>
              <w:t xml:space="preserve"> </w:t>
            </w:r>
            <w:r w:rsidRPr="00C12C3D">
              <w:rPr>
                <w:color w:val="C00000"/>
              </w:rPr>
              <w:t xml:space="preserve">as legacy terrestrial </w:t>
            </w:r>
            <w:proofErr w:type="spellStart"/>
            <w:r w:rsidRPr="00C12C3D">
              <w:rPr>
                <w:color w:val="C00000"/>
              </w:rPr>
              <w:t>eMTC</w:t>
            </w:r>
            <w:proofErr w:type="spellEnd"/>
            <w:r w:rsidRPr="00C12C3D">
              <w:rPr>
                <w:color w:val="C00000"/>
              </w:rPr>
              <w:t xml:space="preserve"> and NB-IoT have had this functionality </w:t>
            </w:r>
            <w:r w:rsidR="009E572C">
              <w:rPr>
                <w:color w:val="C00000"/>
              </w:rPr>
              <w:t>for</w:t>
            </w:r>
            <w:r w:rsidRPr="00C12C3D">
              <w:rPr>
                <w:color w:val="C00000"/>
              </w:rPr>
              <w:t xml:space="preserve"> many releases</w:t>
            </w:r>
            <w:r w:rsidRPr="00744CB4">
              <w:rPr>
                <w:color w:val="365F91" w:themeColor="accent1" w:themeShade="BF"/>
              </w:rPr>
              <w:t xml:space="preserve">. </w:t>
            </w:r>
            <w:r w:rsidR="00F93FDA" w:rsidRPr="00C12C3D">
              <w:rPr>
                <w:color w:val="000000" w:themeColor="text1"/>
              </w:rPr>
              <w:t>This functionality enables the network to use a resource-efficient lean SI transmission with shorter SI windows and fewer repetitions since the UEs can decode the SIB by accumulat</w:t>
            </w:r>
            <w:r w:rsidR="00C12C3D" w:rsidRPr="00C12C3D">
              <w:rPr>
                <w:color w:val="000000" w:themeColor="text1"/>
              </w:rPr>
              <w:t>ing</w:t>
            </w:r>
            <w:r w:rsidR="00F93FDA" w:rsidRPr="00C12C3D">
              <w:rPr>
                <w:color w:val="000000" w:themeColor="text1"/>
              </w:rPr>
              <w:t xml:space="preserve"> it across multiple SI windows. </w:t>
            </w:r>
            <w:r w:rsidRPr="00C12C3D">
              <w:rPr>
                <w:color w:val="000000" w:themeColor="text1"/>
              </w:rPr>
              <w:t>Therefore, it should also be supported for NTN</w:t>
            </w:r>
            <w:r w:rsidR="009E572C">
              <w:rPr>
                <w:color w:val="000000" w:themeColor="text1"/>
              </w:rPr>
              <w:t xml:space="preserve"> in Rel-17</w:t>
            </w:r>
            <w:r w:rsidRPr="00C12C3D">
              <w:rPr>
                <w:color w:val="000000" w:themeColor="text1"/>
              </w:rPr>
              <w:t>.</w:t>
            </w:r>
          </w:p>
          <w:p w14:paraId="6BDDAB32" w14:textId="4F92B00C" w:rsidR="00C12C3D" w:rsidRPr="00C12C3D" w:rsidRDefault="00C12C3D">
            <w:pPr>
              <w:pStyle w:val="Eqn"/>
              <w:rPr>
                <w:color w:val="000000" w:themeColor="text1"/>
              </w:rPr>
            </w:pPr>
            <w:r>
              <w:rPr>
                <w:color w:val="000000" w:themeColor="text1"/>
              </w:rPr>
              <w:t xml:space="preserve">With explicit epoch time, </w:t>
            </w:r>
            <w:r w:rsidRPr="006C69B0">
              <w:rPr>
                <w:color w:val="00B050"/>
              </w:rPr>
              <w:t xml:space="preserve">existing </w:t>
            </w:r>
            <w:proofErr w:type="spellStart"/>
            <w:r w:rsidRPr="006C69B0">
              <w:rPr>
                <w:color w:val="00B050"/>
              </w:rPr>
              <w:t>signalling</w:t>
            </w:r>
            <w:proofErr w:type="spellEnd"/>
            <w:r w:rsidRPr="006C69B0">
              <w:rPr>
                <w:color w:val="00B050"/>
              </w:rPr>
              <w:t xml:space="preserve"> for SI configuration parameters can be used to support this feature</w:t>
            </w:r>
            <w:r w:rsidR="005F6FBF">
              <w:rPr>
                <w:color w:val="000000" w:themeColor="text1"/>
              </w:rPr>
              <w:t xml:space="preserve"> </w:t>
            </w:r>
            <w:r>
              <w:rPr>
                <w:color w:val="000000" w:themeColor="text1"/>
              </w:rPr>
              <w:t xml:space="preserve">(see </w:t>
            </w:r>
            <w:hyperlink r:id="rId14" w:history="1">
              <w:r w:rsidRPr="00C12C3D">
                <w:rPr>
                  <w:rStyle w:val="Hyperlink"/>
                </w:rPr>
                <w:t>R1-2209650</w:t>
              </w:r>
            </w:hyperlink>
            <w:r>
              <w:rPr>
                <w:color w:val="000000" w:themeColor="text1"/>
              </w:rPr>
              <w:t xml:space="preserve"> for detailed analysis)</w:t>
            </w:r>
            <w:r w:rsidR="006C69B0">
              <w:rPr>
                <w:color w:val="000000" w:themeColor="text1"/>
              </w:rPr>
              <w:t>. This is because the UE will already know its SI periodicity</w:t>
            </w:r>
            <w:r w:rsidR="009E572C">
              <w:rPr>
                <w:color w:val="000000" w:themeColor="text1"/>
              </w:rPr>
              <w:t xml:space="preserve">. Assuming the shortest validity timer of 5 seconds, it is obvious that SIB accumulation is feasible for certain SI periodicities. A way forward would be to agree to enable SIB accumulation at least for these periodicities.  </w:t>
            </w:r>
            <w:r w:rsidR="006C69B0">
              <w:rPr>
                <w:color w:val="000000" w:themeColor="text1"/>
              </w:rPr>
              <w:t xml:space="preserve"> </w:t>
            </w:r>
          </w:p>
          <w:p w14:paraId="707B8B33" w14:textId="0608CEBE" w:rsidR="00C12C3D" w:rsidRPr="00C12C3D" w:rsidRDefault="00C12C3D" w:rsidP="00C12C3D">
            <w:pPr>
              <w:pStyle w:val="ListParagraph"/>
              <w:numPr>
                <w:ilvl w:val="0"/>
                <w:numId w:val="18"/>
              </w:numPr>
              <w:tabs>
                <w:tab w:val="num" w:pos="360"/>
              </w:tabs>
              <w:rPr>
                <w:color w:val="000000" w:themeColor="text1"/>
                <w:lang w:eastAsia="ja-JP"/>
              </w:rPr>
            </w:pPr>
            <w:r w:rsidRPr="00C12C3D">
              <w:rPr>
                <w:color w:val="000000" w:themeColor="text1"/>
                <w:lang w:eastAsia="ja-JP"/>
              </w:rPr>
              <w:t xml:space="preserve">For </w:t>
            </w:r>
            <w:proofErr w:type="spellStart"/>
            <w:r w:rsidRPr="00C12C3D">
              <w:rPr>
                <w:color w:val="000000" w:themeColor="text1"/>
                <w:lang w:eastAsia="ja-JP"/>
              </w:rPr>
              <w:t>eMTC</w:t>
            </w:r>
            <w:proofErr w:type="spellEnd"/>
            <w:r w:rsidRPr="00C12C3D">
              <w:rPr>
                <w:color w:val="000000" w:themeColor="text1"/>
                <w:lang w:eastAsia="ja-JP"/>
              </w:rPr>
              <w:t xml:space="preserve"> NTN with explicit epoch time indication, </w:t>
            </w:r>
            <w:r w:rsidRPr="006C69B0">
              <w:rPr>
                <w:color w:val="00B050"/>
                <w:lang w:eastAsia="ja-JP"/>
              </w:rPr>
              <w:t>without introducing additional signalling</w:t>
            </w:r>
            <w:r w:rsidRPr="00C12C3D">
              <w:rPr>
                <w:color w:val="000000" w:themeColor="text1"/>
                <w:lang w:eastAsia="ja-JP"/>
              </w:rPr>
              <w:t>, support NTN SIB accumulation at least for the following SI periodicities: {8, 16, 32, 64} frames</w:t>
            </w:r>
          </w:p>
          <w:p w14:paraId="61D48B93" w14:textId="77777777" w:rsidR="006C69B0" w:rsidRDefault="006C69B0" w:rsidP="006C69B0">
            <w:pPr>
              <w:pStyle w:val="Caption"/>
              <w:keepNext/>
              <w:jc w:val="center"/>
            </w:pPr>
            <w:bookmarkStart w:id="10" w:name="_Ref110455042"/>
            <w:r>
              <w:t xml:space="preserve">Table </w:t>
            </w:r>
            <w:r w:rsidR="00D04EE3">
              <w:fldChar w:fldCharType="begin"/>
            </w:r>
            <w:r w:rsidR="00D04EE3">
              <w:instrText xml:space="preserve"> SEQ Table \* ARABIC </w:instrText>
            </w:r>
            <w:r w:rsidR="00D04EE3">
              <w:fldChar w:fldCharType="separate"/>
            </w:r>
            <w:r>
              <w:rPr>
                <w:noProof/>
              </w:rPr>
              <w:t>2</w:t>
            </w:r>
            <w:r w:rsidR="00D04EE3">
              <w:rPr>
                <w:noProof/>
              </w:rPr>
              <w:fldChar w:fldCharType="end"/>
            </w:r>
            <w:bookmarkEnd w:id="10"/>
            <w:r>
              <w:t xml:space="preserve"> Number of </w:t>
            </w:r>
            <w:proofErr w:type="spellStart"/>
            <w:r>
              <w:t>eMTC</w:t>
            </w:r>
            <w:proofErr w:type="spellEnd"/>
            <w:r>
              <w:t xml:space="preserve"> NTN SIBs that can be accumulated before the validity timer expires.</w:t>
            </w:r>
          </w:p>
          <w:tbl>
            <w:tblPr>
              <w:tblStyle w:val="TableGrid"/>
              <w:tblW w:w="0" w:type="auto"/>
              <w:jc w:val="center"/>
              <w:tblLook w:val="04A0" w:firstRow="1" w:lastRow="0" w:firstColumn="1" w:lastColumn="0" w:noHBand="0" w:noVBand="1"/>
            </w:tblPr>
            <w:tblGrid>
              <w:gridCol w:w="974"/>
              <w:gridCol w:w="963"/>
              <w:gridCol w:w="963"/>
              <w:gridCol w:w="963"/>
              <w:gridCol w:w="963"/>
              <w:gridCol w:w="963"/>
              <w:gridCol w:w="963"/>
              <w:gridCol w:w="963"/>
            </w:tblGrid>
            <w:tr w:rsidR="006C69B0" w14:paraId="1821B992" w14:textId="77777777" w:rsidTr="006C69B0">
              <w:trPr>
                <w:jc w:val="center"/>
              </w:trPr>
              <w:tc>
                <w:tcPr>
                  <w:tcW w:w="974" w:type="dxa"/>
                  <w:vMerge w:val="restart"/>
                  <w:tcBorders>
                    <w:top w:val="single" w:sz="4" w:space="0" w:color="auto"/>
                    <w:left w:val="single" w:sz="4" w:space="0" w:color="auto"/>
                    <w:bottom w:val="single" w:sz="4" w:space="0" w:color="auto"/>
                    <w:right w:val="single" w:sz="4" w:space="0" w:color="auto"/>
                  </w:tcBorders>
                  <w:hideMark/>
                </w:tcPr>
                <w:p w14:paraId="31FB7D04" w14:textId="77777777" w:rsidR="006C69B0" w:rsidRDefault="006C69B0" w:rsidP="006C69B0">
                  <w:pPr>
                    <w:jc w:val="center"/>
                    <w:rPr>
                      <w:b/>
                      <w:bCs/>
                      <w:lang w:val="de-DE" w:eastAsia="en-GB"/>
                    </w:rPr>
                  </w:pPr>
                  <w:r>
                    <w:rPr>
                      <w:b/>
                      <w:bCs/>
                      <w:lang w:val="de-DE" w:eastAsia="en-GB"/>
                    </w:rPr>
                    <w:t>Validity timer (sec)</w:t>
                  </w:r>
                </w:p>
              </w:tc>
              <w:tc>
                <w:tcPr>
                  <w:tcW w:w="6741" w:type="dxa"/>
                  <w:gridSpan w:val="7"/>
                  <w:tcBorders>
                    <w:top w:val="single" w:sz="4" w:space="0" w:color="auto"/>
                    <w:left w:val="single" w:sz="4" w:space="0" w:color="auto"/>
                    <w:bottom w:val="single" w:sz="4" w:space="0" w:color="auto"/>
                    <w:right w:val="single" w:sz="4" w:space="0" w:color="auto"/>
                  </w:tcBorders>
                  <w:hideMark/>
                </w:tcPr>
                <w:p w14:paraId="17F7CA89" w14:textId="77777777" w:rsidR="006C69B0" w:rsidRDefault="006C69B0" w:rsidP="006C69B0">
                  <w:pPr>
                    <w:jc w:val="center"/>
                    <w:rPr>
                      <w:b/>
                      <w:bCs/>
                      <w:lang w:val="de-DE" w:eastAsia="en-GB"/>
                    </w:rPr>
                  </w:pPr>
                  <w:r>
                    <w:rPr>
                      <w:b/>
                      <w:bCs/>
                      <w:lang w:val="de-DE" w:eastAsia="en-GB"/>
                    </w:rPr>
                    <w:t>eMTC SI window periodicity (sec)</w:t>
                  </w:r>
                </w:p>
              </w:tc>
            </w:tr>
            <w:tr w:rsidR="006C69B0" w14:paraId="2DD3CD53" w14:textId="77777777" w:rsidTr="006C69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D8DAAC" w14:textId="77777777" w:rsidR="006C69B0" w:rsidRDefault="006C69B0" w:rsidP="006C69B0">
                  <w:pPr>
                    <w:spacing w:after="0"/>
                    <w:rPr>
                      <w:rFonts w:asciiTheme="minorHAnsi" w:eastAsiaTheme="minorHAnsi" w:hAnsiTheme="minorHAnsi" w:cstheme="minorBidi"/>
                      <w:b/>
                      <w:bCs/>
                      <w:sz w:val="22"/>
                      <w:szCs w:val="22"/>
                      <w:lang w:val="de-DE" w:eastAsia="en-GB"/>
                    </w:rPr>
                  </w:pPr>
                </w:p>
              </w:tc>
              <w:tc>
                <w:tcPr>
                  <w:tcW w:w="963" w:type="dxa"/>
                  <w:tcBorders>
                    <w:top w:val="single" w:sz="4" w:space="0" w:color="auto"/>
                    <w:left w:val="single" w:sz="4" w:space="0" w:color="auto"/>
                    <w:bottom w:val="single" w:sz="4" w:space="0" w:color="auto"/>
                    <w:right w:val="single" w:sz="4" w:space="0" w:color="auto"/>
                  </w:tcBorders>
                  <w:hideMark/>
                </w:tcPr>
                <w:p w14:paraId="7A49E102" w14:textId="77777777" w:rsidR="006C69B0" w:rsidRDefault="006C69B0" w:rsidP="006C69B0">
                  <w:pPr>
                    <w:jc w:val="center"/>
                    <w:rPr>
                      <w:lang w:val="de-DE" w:eastAsia="en-GB"/>
                    </w:rPr>
                  </w:pPr>
                  <w:r>
                    <w:rPr>
                      <w:lang w:val="de-DE" w:eastAsia="en-GB"/>
                    </w:rPr>
                    <w:t>0.08</w:t>
                  </w:r>
                </w:p>
              </w:tc>
              <w:tc>
                <w:tcPr>
                  <w:tcW w:w="963" w:type="dxa"/>
                  <w:tcBorders>
                    <w:top w:val="single" w:sz="4" w:space="0" w:color="auto"/>
                    <w:left w:val="single" w:sz="4" w:space="0" w:color="auto"/>
                    <w:bottom w:val="single" w:sz="4" w:space="0" w:color="auto"/>
                    <w:right w:val="single" w:sz="4" w:space="0" w:color="auto"/>
                  </w:tcBorders>
                  <w:hideMark/>
                </w:tcPr>
                <w:p w14:paraId="7F49F279" w14:textId="77777777" w:rsidR="006C69B0" w:rsidRDefault="006C69B0" w:rsidP="006C69B0">
                  <w:pPr>
                    <w:jc w:val="center"/>
                    <w:rPr>
                      <w:lang w:val="de-DE" w:eastAsia="en-GB"/>
                    </w:rPr>
                  </w:pPr>
                  <w:r>
                    <w:rPr>
                      <w:lang w:val="de-DE" w:eastAsia="en-GB"/>
                    </w:rPr>
                    <w:t>0.16</w:t>
                  </w:r>
                </w:p>
              </w:tc>
              <w:tc>
                <w:tcPr>
                  <w:tcW w:w="963" w:type="dxa"/>
                  <w:tcBorders>
                    <w:top w:val="single" w:sz="4" w:space="0" w:color="auto"/>
                    <w:left w:val="single" w:sz="4" w:space="0" w:color="auto"/>
                    <w:bottom w:val="single" w:sz="4" w:space="0" w:color="auto"/>
                    <w:right w:val="single" w:sz="4" w:space="0" w:color="auto"/>
                  </w:tcBorders>
                  <w:hideMark/>
                </w:tcPr>
                <w:p w14:paraId="52E809C3" w14:textId="77777777" w:rsidR="006C69B0" w:rsidRDefault="006C69B0" w:rsidP="006C69B0">
                  <w:pPr>
                    <w:jc w:val="center"/>
                    <w:rPr>
                      <w:lang w:val="de-DE" w:eastAsia="en-GB"/>
                    </w:rPr>
                  </w:pPr>
                  <w:r>
                    <w:rPr>
                      <w:lang w:val="de-DE" w:eastAsia="en-GB"/>
                    </w:rPr>
                    <w:t>0.32</w:t>
                  </w:r>
                </w:p>
              </w:tc>
              <w:tc>
                <w:tcPr>
                  <w:tcW w:w="963" w:type="dxa"/>
                  <w:tcBorders>
                    <w:top w:val="single" w:sz="4" w:space="0" w:color="auto"/>
                    <w:left w:val="single" w:sz="4" w:space="0" w:color="auto"/>
                    <w:bottom w:val="single" w:sz="4" w:space="0" w:color="auto"/>
                    <w:right w:val="single" w:sz="4" w:space="0" w:color="auto"/>
                  </w:tcBorders>
                  <w:hideMark/>
                </w:tcPr>
                <w:p w14:paraId="2ACB56C8" w14:textId="77777777" w:rsidR="006C69B0" w:rsidRDefault="006C69B0" w:rsidP="006C69B0">
                  <w:pPr>
                    <w:jc w:val="center"/>
                    <w:rPr>
                      <w:lang w:val="de-DE" w:eastAsia="en-GB"/>
                    </w:rPr>
                  </w:pPr>
                  <w:r>
                    <w:rPr>
                      <w:lang w:val="de-DE" w:eastAsia="en-GB"/>
                    </w:rPr>
                    <w:t>0.64</w:t>
                  </w:r>
                </w:p>
              </w:tc>
              <w:tc>
                <w:tcPr>
                  <w:tcW w:w="963" w:type="dxa"/>
                  <w:tcBorders>
                    <w:top w:val="single" w:sz="4" w:space="0" w:color="auto"/>
                    <w:left w:val="single" w:sz="4" w:space="0" w:color="auto"/>
                    <w:bottom w:val="single" w:sz="4" w:space="0" w:color="auto"/>
                    <w:right w:val="single" w:sz="4" w:space="0" w:color="auto"/>
                  </w:tcBorders>
                  <w:hideMark/>
                </w:tcPr>
                <w:p w14:paraId="55CD016F" w14:textId="77777777" w:rsidR="006C69B0" w:rsidRDefault="006C69B0" w:rsidP="006C69B0">
                  <w:pPr>
                    <w:jc w:val="center"/>
                    <w:rPr>
                      <w:lang w:val="de-DE" w:eastAsia="en-GB"/>
                    </w:rPr>
                  </w:pPr>
                  <w:r>
                    <w:rPr>
                      <w:lang w:val="de-DE" w:eastAsia="en-GB"/>
                    </w:rPr>
                    <w:t>1.28</w:t>
                  </w:r>
                </w:p>
              </w:tc>
              <w:tc>
                <w:tcPr>
                  <w:tcW w:w="963" w:type="dxa"/>
                  <w:tcBorders>
                    <w:top w:val="single" w:sz="4" w:space="0" w:color="auto"/>
                    <w:left w:val="single" w:sz="4" w:space="0" w:color="auto"/>
                    <w:bottom w:val="single" w:sz="4" w:space="0" w:color="auto"/>
                    <w:right w:val="single" w:sz="4" w:space="0" w:color="auto"/>
                  </w:tcBorders>
                  <w:hideMark/>
                </w:tcPr>
                <w:p w14:paraId="34BCE3CE" w14:textId="77777777" w:rsidR="006C69B0" w:rsidRDefault="006C69B0" w:rsidP="006C69B0">
                  <w:pPr>
                    <w:jc w:val="center"/>
                    <w:rPr>
                      <w:lang w:val="de-DE" w:eastAsia="en-GB"/>
                    </w:rPr>
                  </w:pPr>
                  <w:r>
                    <w:rPr>
                      <w:lang w:val="de-DE" w:eastAsia="en-GB"/>
                    </w:rPr>
                    <w:t>2.56</w:t>
                  </w:r>
                </w:p>
              </w:tc>
              <w:tc>
                <w:tcPr>
                  <w:tcW w:w="963" w:type="dxa"/>
                  <w:tcBorders>
                    <w:top w:val="single" w:sz="4" w:space="0" w:color="auto"/>
                    <w:left w:val="single" w:sz="4" w:space="0" w:color="auto"/>
                    <w:bottom w:val="single" w:sz="4" w:space="0" w:color="auto"/>
                    <w:right w:val="single" w:sz="4" w:space="0" w:color="auto"/>
                  </w:tcBorders>
                  <w:hideMark/>
                </w:tcPr>
                <w:p w14:paraId="4D7C1F91" w14:textId="77777777" w:rsidR="006C69B0" w:rsidRDefault="006C69B0" w:rsidP="006C69B0">
                  <w:pPr>
                    <w:jc w:val="center"/>
                    <w:rPr>
                      <w:lang w:val="de-DE" w:eastAsia="en-GB"/>
                    </w:rPr>
                  </w:pPr>
                  <w:r>
                    <w:rPr>
                      <w:lang w:val="de-DE" w:eastAsia="en-GB"/>
                    </w:rPr>
                    <w:t>5.12</w:t>
                  </w:r>
                </w:p>
              </w:tc>
            </w:tr>
            <w:tr w:rsidR="006C69B0" w14:paraId="4CF0F59A" w14:textId="77777777" w:rsidTr="006C69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8C637" w14:textId="77777777" w:rsidR="006C69B0" w:rsidRDefault="006C69B0" w:rsidP="006C69B0">
                  <w:pPr>
                    <w:spacing w:after="0"/>
                    <w:rPr>
                      <w:rFonts w:asciiTheme="minorHAnsi" w:eastAsiaTheme="minorHAnsi" w:hAnsiTheme="minorHAnsi" w:cstheme="minorBidi"/>
                      <w:b/>
                      <w:bCs/>
                      <w:sz w:val="22"/>
                      <w:szCs w:val="22"/>
                      <w:lang w:val="de-DE" w:eastAsia="en-GB"/>
                    </w:rPr>
                  </w:pPr>
                </w:p>
              </w:tc>
              <w:tc>
                <w:tcPr>
                  <w:tcW w:w="6741" w:type="dxa"/>
                  <w:gridSpan w:val="7"/>
                  <w:tcBorders>
                    <w:top w:val="single" w:sz="4" w:space="0" w:color="auto"/>
                    <w:left w:val="single" w:sz="4" w:space="0" w:color="auto"/>
                    <w:bottom w:val="single" w:sz="4" w:space="0" w:color="auto"/>
                    <w:right w:val="single" w:sz="4" w:space="0" w:color="auto"/>
                  </w:tcBorders>
                  <w:hideMark/>
                </w:tcPr>
                <w:p w14:paraId="0158F663" w14:textId="77777777" w:rsidR="006C69B0" w:rsidRDefault="006C69B0" w:rsidP="006C69B0">
                  <w:pPr>
                    <w:jc w:val="center"/>
                    <w:rPr>
                      <w:b/>
                      <w:bCs/>
                      <w:lang w:val="de-DE" w:eastAsia="en-GB"/>
                    </w:rPr>
                  </w:pPr>
                  <w:r>
                    <w:rPr>
                      <w:b/>
                      <w:bCs/>
                      <w:lang w:val="de-DE" w:eastAsia="en-GB"/>
                    </w:rPr>
                    <w:t>Number of eMTC SI windows within a validity timer duration</w:t>
                  </w:r>
                </w:p>
              </w:tc>
            </w:tr>
            <w:tr w:rsidR="006C69B0" w14:paraId="3CB027D5"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530AF348" w14:textId="77777777" w:rsidR="006C69B0" w:rsidRPr="006C69B0" w:rsidRDefault="006C69B0" w:rsidP="006C69B0">
                  <w:pPr>
                    <w:jc w:val="center"/>
                    <w:rPr>
                      <w:b/>
                      <w:bCs/>
                      <w:color w:val="00B050"/>
                      <w:lang w:val="de-DE" w:eastAsia="en-GB"/>
                    </w:rPr>
                  </w:pPr>
                  <w:r w:rsidRPr="006C69B0">
                    <w:rPr>
                      <w:b/>
                      <w:bCs/>
                      <w:color w:val="00B050"/>
                      <w:lang w:val="de-DE" w:eastAsia="en-GB"/>
                    </w:rPr>
                    <w:t>5</w:t>
                  </w:r>
                </w:p>
              </w:tc>
              <w:tc>
                <w:tcPr>
                  <w:tcW w:w="963" w:type="dxa"/>
                  <w:tcBorders>
                    <w:top w:val="single" w:sz="4" w:space="0" w:color="auto"/>
                    <w:left w:val="single" w:sz="4" w:space="0" w:color="auto"/>
                    <w:bottom w:val="single" w:sz="4" w:space="0" w:color="auto"/>
                    <w:right w:val="single" w:sz="4" w:space="0" w:color="auto"/>
                  </w:tcBorders>
                  <w:hideMark/>
                </w:tcPr>
                <w:p w14:paraId="6623EA65" w14:textId="77777777" w:rsidR="006C69B0" w:rsidRPr="006C69B0" w:rsidRDefault="006C69B0" w:rsidP="006C69B0">
                  <w:pPr>
                    <w:jc w:val="center"/>
                    <w:rPr>
                      <w:color w:val="00B050"/>
                      <w:lang w:val="de-DE" w:eastAsia="en-GB"/>
                    </w:rPr>
                  </w:pPr>
                  <w:r w:rsidRPr="006C69B0">
                    <w:rPr>
                      <w:color w:val="00B050"/>
                      <w:lang w:val="de-DE" w:eastAsia="en-GB"/>
                    </w:rPr>
                    <w:t>62</w:t>
                  </w:r>
                </w:p>
              </w:tc>
              <w:tc>
                <w:tcPr>
                  <w:tcW w:w="963" w:type="dxa"/>
                  <w:tcBorders>
                    <w:top w:val="single" w:sz="4" w:space="0" w:color="auto"/>
                    <w:left w:val="single" w:sz="4" w:space="0" w:color="auto"/>
                    <w:bottom w:val="single" w:sz="4" w:space="0" w:color="auto"/>
                    <w:right w:val="single" w:sz="4" w:space="0" w:color="auto"/>
                  </w:tcBorders>
                  <w:hideMark/>
                </w:tcPr>
                <w:p w14:paraId="0AE40B59" w14:textId="77777777" w:rsidR="006C69B0" w:rsidRPr="006C69B0" w:rsidRDefault="006C69B0" w:rsidP="006C69B0">
                  <w:pPr>
                    <w:jc w:val="center"/>
                    <w:rPr>
                      <w:color w:val="00B050"/>
                      <w:lang w:val="de-DE" w:eastAsia="en-GB"/>
                    </w:rPr>
                  </w:pPr>
                  <w:r w:rsidRPr="006C69B0">
                    <w:rPr>
                      <w:color w:val="00B050"/>
                      <w:lang w:val="de-DE" w:eastAsia="en-GB"/>
                    </w:rPr>
                    <w:t>31</w:t>
                  </w:r>
                </w:p>
              </w:tc>
              <w:tc>
                <w:tcPr>
                  <w:tcW w:w="963" w:type="dxa"/>
                  <w:tcBorders>
                    <w:top w:val="single" w:sz="4" w:space="0" w:color="auto"/>
                    <w:left w:val="single" w:sz="4" w:space="0" w:color="auto"/>
                    <w:bottom w:val="single" w:sz="4" w:space="0" w:color="auto"/>
                    <w:right w:val="single" w:sz="4" w:space="0" w:color="auto"/>
                  </w:tcBorders>
                  <w:hideMark/>
                </w:tcPr>
                <w:p w14:paraId="699402F6" w14:textId="77777777" w:rsidR="006C69B0" w:rsidRPr="006C69B0" w:rsidRDefault="006C69B0" w:rsidP="006C69B0">
                  <w:pPr>
                    <w:jc w:val="center"/>
                    <w:rPr>
                      <w:color w:val="00B050"/>
                      <w:lang w:val="de-DE" w:eastAsia="en-GB"/>
                    </w:rPr>
                  </w:pPr>
                  <w:r w:rsidRPr="006C69B0">
                    <w:rPr>
                      <w:color w:val="00B050"/>
                      <w:lang w:val="de-DE" w:eastAsia="en-GB"/>
                    </w:rPr>
                    <w:t>15</w:t>
                  </w:r>
                </w:p>
              </w:tc>
              <w:tc>
                <w:tcPr>
                  <w:tcW w:w="963" w:type="dxa"/>
                  <w:tcBorders>
                    <w:top w:val="single" w:sz="4" w:space="0" w:color="auto"/>
                    <w:left w:val="single" w:sz="4" w:space="0" w:color="auto"/>
                    <w:bottom w:val="single" w:sz="4" w:space="0" w:color="auto"/>
                    <w:right w:val="single" w:sz="4" w:space="0" w:color="auto"/>
                  </w:tcBorders>
                  <w:hideMark/>
                </w:tcPr>
                <w:p w14:paraId="6E4288F5" w14:textId="77777777" w:rsidR="006C69B0" w:rsidRPr="006C69B0" w:rsidRDefault="006C69B0" w:rsidP="006C69B0">
                  <w:pPr>
                    <w:jc w:val="center"/>
                    <w:rPr>
                      <w:color w:val="00B050"/>
                      <w:lang w:val="de-DE" w:eastAsia="en-GB"/>
                    </w:rPr>
                  </w:pPr>
                  <w:r w:rsidRPr="006C69B0">
                    <w:rPr>
                      <w:color w:val="00B050"/>
                      <w:lang w:val="de-DE" w:eastAsia="en-GB"/>
                    </w:rPr>
                    <w:t>7</w:t>
                  </w:r>
                </w:p>
              </w:tc>
              <w:tc>
                <w:tcPr>
                  <w:tcW w:w="963" w:type="dxa"/>
                  <w:tcBorders>
                    <w:top w:val="single" w:sz="4" w:space="0" w:color="auto"/>
                    <w:left w:val="single" w:sz="4" w:space="0" w:color="auto"/>
                    <w:bottom w:val="single" w:sz="4" w:space="0" w:color="auto"/>
                    <w:right w:val="single" w:sz="4" w:space="0" w:color="auto"/>
                  </w:tcBorders>
                  <w:hideMark/>
                </w:tcPr>
                <w:p w14:paraId="098D06EF" w14:textId="77777777" w:rsidR="006C69B0" w:rsidRDefault="006C69B0" w:rsidP="006C69B0">
                  <w:pPr>
                    <w:jc w:val="center"/>
                    <w:rPr>
                      <w:lang w:val="de-DE" w:eastAsia="en-GB"/>
                    </w:rPr>
                  </w:pPr>
                  <w:r>
                    <w:rPr>
                      <w:lang w:val="de-DE" w:eastAsia="en-GB"/>
                    </w:rPr>
                    <w:t>3</w:t>
                  </w:r>
                </w:p>
              </w:tc>
              <w:tc>
                <w:tcPr>
                  <w:tcW w:w="963" w:type="dxa"/>
                  <w:tcBorders>
                    <w:top w:val="single" w:sz="4" w:space="0" w:color="auto"/>
                    <w:left w:val="single" w:sz="4" w:space="0" w:color="auto"/>
                    <w:bottom w:val="single" w:sz="4" w:space="0" w:color="auto"/>
                    <w:right w:val="single" w:sz="4" w:space="0" w:color="auto"/>
                  </w:tcBorders>
                  <w:hideMark/>
                </w:tcPr>
                <w:p w14:paraId="024FAFE8" w14:textId="77777777" w:rsidR="006C69B0" w:rsidRDefault="006C69B0" w:rsidP="006C69B0">
                  <w:pPr>
                    <w:jc w:val="center"/>
                    <w:rPr>
                      <w:lang w:val="de-DE" w:eastAsia="en-GB"/>
                    </w:rPr>
                  </w:pPr>
                  <w:r>
                    <w:rPr>
                      <w:lang w:val="de-DE" w:eastAsia="en-GB"/>
                    </w:rPr>
                    <w:t>1</w:t>
                  </w:r>
                </w:p>
              </w:tc>
              <w:tc>
                <w:tcPr>
                  <w:tcW w:w="963" w:type="dxa"/>
                  <w:tcBorders>
                    <w:top w:val="single" w:sz="4" w:space="0" w:color="auto"/>
                    <w:left w:val="single" w:sz="4" w:space="0" w:color="auto"/>
                    <w:bottom w:val="single" w:sz="4" w:space="0" w:color="auto"/>
                    <w:right w:val="single" w:sz="4" w:space="0" w:color="auto"/>
                  </w:tcBorders>
                  <w:hideMark/>
                </w:tcPr>
                <w:p w14:paraId="461C09C8" w14:textId="77777777" w:rsidR="006C69B0" w:rsidRDefault="006C69B0" w:rsidP="006C69B0">
                  <w:pPr>
                    <w:jc w:val="center"/>
                    <w:rPr>
                      <w:lang w:val="de-DE" w:eastAsia="en-GB"/>
                    </w:rPr>
                  </w:pPr>
                  <w:r>
                    <w:rPr>
                      <w:lang w:val="de-DE" w:eastAsia="en-GB"/>
                    </w:rPr>
                    <w:t>-</w:t>
                  </w:r>
                </w:p>
              </w:tc>
            </w:tr>
            <w:tr w:rsidR="006C69B0" w14:paraId="565D0389"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4CF4EF9E" w14:textId="77777777" w:rsidR="006C69B0" w:rsidRDefault="006C69B0" w:rsidP="006C69B0">
                  <w:pPr>
                    <w:jc w:val="center"/>
                    <w:rPr>
                      <w:b/>
                      <w:bCs/>
                      <w:lang w:val="de-DE" w:eastAsia="en-GB"/>
                    </w:rPr>
                  </w:pPr>
                  <w:r>
                    <w:rPr>
                      <w:b/>
                      <w:bCs/>
                      <w:lang w:val="de-DE" w:eastAsia="en-GB"/>
                    </w:rPr>
                    <w:t>10</w:t>
                  </w:r>
                </w:p>
              </w:tc>
              <w:tc>
                <w:tcPr>
                  <w:tcW w:w="963" w:type="dxa"/>
                  <w:tcBorders>
                    <w:top w:val="single" w:sz="4" w:space="0" w:color="auto"/>
                    <w:left w:val="single" w:sz="4" w:space="0" w:color="auto"/>
                    <w:bottom w:val="single" w:sz="4" w:space="0" w:color="auto"/>
                    <w:right w:val="single" w:sz="4" w:space="0" w:color="auto"/>
                  </w:tcBorders>
                  <w:hideMark/>
                </w:tcPr>
                <w:p w14:paraId="6B99670C" w14:textId="77777777" w:rsidR="006C69B0" w:rsidRDefault="006C69B0" w:rsidP="006C69B0">
                  <w:pPr>
                    <w:jc w:val="center"/>
                    <w:rPr>
                      <w:lang w:val="de-DE" w:eastAsia="en-GB"/>
                    </w:rPr>
                  </w:pPr>
                  <w:r>
                    <w:rPr>
                      <w:lang w:val="de-DE" w:eastAsia="en-GB"/>
                    </w:rPr>
                    <w:t>125</w:t>
                  </w:r>
                </w:p>
              </w:tc>
              <w:tc>
                <w:tcPr>
                  <w:tcW w:w="963" w:type="dxa"/>
                  <w:tcBorders>
                    <w:top w:val="single" w:sz="4" w:space="0" w:color="auto"/>
                    <w:left w:val="single" w:sz="4" w:space="0" w:color="auto"/>
                    <w:bottom w:val="single" w:sz="4" w:space="0" w:color="auto"/>
                    <w:right w:val="single" w:sz="4" w:space="0" w:color="auto"/>
                  </w:tcBorders>
                  <w:hideMark/>
                </w:tcPr>
                <w:p w14:paraId="771331B7" w14:textId="77777777" w:rsidR="006C69B0" w:rsidRDefault="006C69B0" w:rsidP="006C69B0">
                  <w:pPr>
                    <w:jc w:val="center"/>
                    <w:rPr>
                      <w:lang w:val="de-DE" w:eastAsia="en-GB"/>
                    </w:rPr>
                  </w:pPr>
                  <w:r>
                    <w:rPr>
                      <w:lang w:val="de-DE" w:eastAsia="en-GB"/>
                    </w:rPr>
                    <w:t>62</w:t>
                  </w:r>
                </w:p>
              </w:tc>
              <w:tc>
                <w:tcPr>
                  <w:tcW w:w="963" w:type="dxa"/>
                  <w:tcBorders>
                    <w:top w:val="single" w:sz="4" w:space="0" w:color="auto"/>
                    <w:left w:val="single" w:sz="4" w:space="0" w:color="auto"/>
                    <w:bottom w:val="single" w:sz="4" w:space="0" w:color="auto"/>
                    <w:right w:val="single" w:sz="4" w:space="0" w:color="auto"/>
                  </w:tcBorders>
                  <w:hideMark/>
                </w:tcPr>
                <w:p w14:paraId="36672B26" w14:textId="77777777" w:rsidR="006C69B0" w:rsidRDefault="006C69B0" w:rsidP="006C69B0">
                  <w:pPr>
                    <w:jc w:val="center"/>
                    <w:rPr>
                      <w:lang w:val="de-DE" w:eastAsia="en-GB"/>
                    </w:rPr>
                  </w:pPr>
                  <w:r>
                    <w:rPr>
                      <w:lang w:val="de-DE" w:eastAsia="en-GB"/>
                    </w:rPr>
                    <w:t>31</w:t>
                  </w:r>
                </w:p>
              </w:tc>
              <w:tc>
                <w:tcPr>
                  <w:tcW w:w="963" w:type="dxa"/>
                  <w:tcBorders>
                    <w:top w:val="single" w:sz="4" w:space="0" w:color="auto"/>
                    <w:left w:val="single" w:sz="4" w:space="0" w:color="auto"/>
                    <w:bottom w:val="single" w:sz="4" w:space="0" w:color="auto"/>
                    <w:right w:val="single" w:sz="4" w:space="0" w:color="auto"/>
                  </w:tcBorders>
                  <w:hideMark/>
                </w:tcPr>
                <w:p w14:paraId="2EEF1969" w14:textId="77777777" w:rsidR="006C69B0" w:rsidRDefault="006C69B0" w:rsidP="006C69B0">
                  <w:pPr>
                    <w:jc w:val="center"/>
                    <w:rPr>
                      <w:lang w:val="de-DE" w:eastAsia="en-GB"/>
                    </w:rPr>
                  </w:pPr>
                  <w:r>
                    <w:rPr>
                      <w:lang w:val="de-DE" w:eastAsia="en-GB"/>
                    </w:rPr>
                    <w:t>15</w:t>
                  </w:r>
                </w:p>
              </w:tc>
              <w:tc>
                <w:tcPr>
                  <w:tcW w:w="963" w:type="dxa"/>
                  <w:tcBorders>
                    <w:top w:val="single" w:sz="4" w:space="0" w:color="auto"/>
                    <w:left w:val="single" w:sz="4" w:space="0" w:color="auto"/>
                    <w:bottom w:val="single" w:sz="4" w:space="0" w:color="auto"/>
                    <w:right w:val="single" w:sz="4" w:space="0" w:color="auto"/>
                  </w:tcBorders>
                  <w:hideMark/>
                </w:tcPr>
                <w:p w14:paraId="25AEAB5C" w14:textId="77777777" w:rsidR="006C69B0" w:rsidRDefault="006C69B0" w:rsidP="006C69B0">
                  <w:pPr>
                    <w:jc w:val="center"/>
                    <w:rPr>
                      <w:lang w:val="de-DE" w:eastAsia="en-GB"/>
                    </w:rPr>
                  </w:pPr>
                  <w:r>
                    <w:rPr>
                      <w:lang w:val="de-DE" w:eastAsia="en-GB"/>
                    </w:rPr>
                    <w:t>7</w:t>
                  </w:r>
                </w:p>
              </w:tc>
              <w:tc>
                <w:tcPr>
                  <w:tcW w:w="963" w:type="dxa"/>
                  <w:tcBorders>
                    <w:top w:val="single" w:sz="4" w:space="0" w:color="auto"/>
                    <w:left w:val="single" w:sz="4" w:space="0" w:color="auto"/>
                    <w:bottom w:val="single" w:sz="4" w:space="0" w:color="auto"/>
                    <w:right w:val="single" w:sz="4" w:space="0" w:color="auto"/>
                  </w:tcBorders>
                  <w:hideMark/>
                </w:tcPr>
                <w:p w14:paraId="38F0B693" w14:textId="77777777" w:rsidR="006C69B0" w:rsidRDefault="006C69B0" w:rsidP="006C69B0">
                  <w:pPr>
                    <w:jc w:val="center"/>
                    <w:rPr>
                      <w:lang w:val="de-DE" w:eastAsia="en-GB"/>
                    </w:rPr>
                  </w:pPr>
                  <w:r>
                    <w:rPr>
                      <w:lang w:val="de-DE" w:eastAsia="en-GB"/>
                    </w:rPr>
                    <w:t>3</w:t>
                  </w:r>
                </w:p>
              </w:tc>
              <w:tc>
                <w:tcPr>
                  <w:tcW w:w="963" w:type="dxa"/>
                  <w:tcBorders>
                    <w:top w:val="single" w:sz="4" w:space="0" w:color="auto"/>
                    <w:left w:val="single" w:sz="4" w:space="0" w:color="auto"/>
                    <w:bottom w:val="single" w:sz="4" w:space="0" w:color="auto"/>
                    <w:right w:val="single" w:sz="4" w:space="0" w:color="auto"/>
                  </w:tcBorders>
                  <w:hideMark/>
                </w:tcPr>
                <w:p w14:paraId="0598EA31" w14:textId="77777777" w:rsidR="006C69B0" w:rsidRDefault="006C69B0" w:rsidP="006C69B0">
                  <w:pPr>
                    <w:jc w:val="center"/>
                    <w:rPr>
                      <w:lang w:val="de-DE" w:eastAsia="en-GB"/>
                    </w:rPr>
                  </w:pPr>
                  <w:r>
                    <w:rPr>
                      <w:lang w:val="de-DE" w:eastAsia="en-GB"/>
                    </w:rPr>
                    <w:t>1</w:t>
                  </w:r>
                </w:p>
              </w:tc>
            </w:tr>
            <w:tr w:rsidR="006C69B0" w14:paraId="28658C6F"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495D7F47" w14:textId="77777777" w:rsidR="006C69B0" w:rsidRDefault="006C69B0" w:rsidP="006C69B0">
                  <w:pPr>
                    <w:jc w:val="center"/>
                    <w:rPr>
                      <w:b/>
                      <w:bCs/>
                      <w:lang w:val="de-DE" w:eastAsia="en-GB"/>
                    </w:rPr>
                  </w:pPr>
                  <w:r>
                    <w:rPr>
                      <w:b/>
                      <w:bCs/>
                      <w:lang w:val="de-DE" w:eastAsia="en-GB"/>
                    </w:rPr>
                    <w:t>15</w:t>
                  </w:r>
                </w:p>
              </w:tc>
              <w:tc>
                <w:tcPr>
                  <w:tcW w:w="963" w:type="dxa"/>
                  <w:tcBorders>
                    <w:top w:val="single" w:sz="4" w:space="0" w:color="auto"/>
                    <w:left w:val="single" w:sz="4" w:space="0" w:color="auto"/>
                    <w:bottom w:val="single" w:sz="4" w:space="0" w:color="auto"/>
                    <w:right w:val="single" w:sz="4" w:space="0" w:color="auto"/>
                  </w:tcBorders>
                  <w:hideMark/>
                </w:tcPr>
                <w:p w14:paraId="22E89ED6"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51223BA0"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295658B2" w14:textId="77777777" w:rsidR="006C69B0" w:rsidRDefault="006C69B0" w:rsidP="006C69B0">
                  <w:pPr>
                    <w:jc w:val="center"/>
                    <w:rPr>
                      <w:lang w:val="de-DE" w:eastAsia="en-GB"/>
                    </w:rPr>
                  </w:pPr>
                  <w:r>
                    <w:rPr>
                      <w:lang w:val="de-DE" w:eastAsia="en-GB"/>
                    </w:rPr>
                    <w:t>46</w:t>
                  </w:r>
                </w:p>
              </w:tc>
              <w:tc>
                <w:tcPr>
                  <w:tcW w:w="963" w:type="dxa"/>
                  <w:tcBorders>
                    <w:top w:val="single" w:sz="4" w:space="0" w:color="auto"/>
                    <w:left w:val="single" w:sz="4" w:space="0" w:color="auto"/>
                    <w:bottom w:val="single" w:sz="4" w:space="0" w:color="auto"/>
                    <w:right w:val="single" w:sz="4" w:space="0" w:color="auto"/>
                  </w:tcBorders>
                  <w:hideMark/>
                </w:tcPr>
                <w:p w14:paraId="709569E5" w14:textId="77777777" w:rsidR="006C69B0" w:rsidRDefault="006C69B0" w:rsidP="006C69B0">
                  <w:pPr>
                    <w:jc w:val="center"/>
                    <w:rPr>
                      <w:lang w:val="de-DE" w:eastAsia="en-GB"/>
                    </w:rPr>
                  </w:pPr>
                  <w:r>
                    <w:rPr>
                      <w:lang w:val="de-DE" w:eastAsia="en-GB"/>
                    </w:rPr>
                    <w:t>23</w:t>
                  </w:r>
                </w:p>
              </w:tc>
              <w:tc>
                <w:tcPr>
                  <w:tcW w:w="963" w:type="dxa"/>
                  <w:tcBorders>
                    <w:top w:val="single" w:sz="4" w:space="0" w:color="auto"/>
                    <w:left w:val="single" w:sz="4" w:space="0" w:color="auto"/>
                    <w:bottom w:val="single" w:sz="4" w:space="0" w:color="auto"/>
                    <w:right w:val="single" w:sz="4" w:space="0" w:color="auto"/>
                  </w:tcBorders>
                  <w:hideMark/>
                </w:tcPr>
                <w:p w14:paraId="2F0C701A" w14:textId="77777777" w:rsidR="006C69B0" w:rsidRDefault="006C69B0" w:rsidP="006C69B0">
                  <w:pPr>
                    <w:jc w:val="center"/>
                    <w:rPr>
                      <w:lang w:val="de-DE" w:eastAsia="en-GB"/>
                    </w:rPr>
                  </w:pPr>
                  <w:r>
                    <w:rPr>
                      <w:lang w:val="de-DE" w:eastAsia="en-GB"/>
                    </w:rPr>
                    <w:t>11</w:t>
                  </w:r>
                </w:p>
              </w:tc>
              <w:tc>
                <w:tcPr>
                  <w:tcW w:w="963" w:type="dxa"/>
                  <w:tcBorders>
                    <w:top w:val="single" w:sz="4" w:space="0" w:color="auto"/>
                    <w:left w:val="single" w:sz="4" w:space="0" w:color="auto"/>
                    <w:bottom w:val="single" w:sz="4" w:space="0" w:color="auto"/>
                    <w:right w:val="single" w:sz="4" w:space="0" w:color="auto"/>
                  </w:tcBorders>
                  <w:hideMark/>
                </w:tcPr>
                <w:p w14:paraId="0B355D4E" w14:textId="77777777" w:rsidR="006C69B0" w:rsidRDefault="006C69B0" w:rsidP="006C69B0">
                  <w:pPr>
                    <w:jc w:val="center"/>
                    <w:rPr>
                      <w:lang w:val="de-DE" w:eastAsia="en-GB"/>
                    </w:rPr>
                  </w:pPr>
                  <w:r>
                    <w:rPr>
                      <w:lang w:val="de-DE" w:eastAsia="en-GB"/>
                    </w:rPr>
                    <w:t>5</w:t>
                  </w:r>
                </w:p>
              </w:tc>
              <w:tc>
                <w:tcPr>
                  <w:tcW w:w="963" w:type="dxa"/>
                  <w:tcBorders>
                    <w:top w:val="single" w:sz="4" w:space="0" w:color="auto"/>
                    <w:left w:val="single" w:sz="4" w:space="0" w:color="auto"/>
                    <w:bottom w:val="single" w:sz="4" w:space="0" w:color="auto"/>
                    <w:right w:val="single" w:sz="4" w:space="0" w:color="auto"/>
                  </w:tcBorders>
                  <w:hideMark/>
                </w:tcPr>
                <w:p w14:paraId="1949343B" w14:textId="77777777" w:rsidR="006C69B0" w:rsidRDefault="006C69B0" w:rsidP="006C69B0">
                  <w:pPr>
                    <w:jc w:val="center"/>
                    <w:rPr>
                      <w:lang w:val="de-DE" w:eastAsia="en-GB"/>
                    </w:rPr>
                  </w:pPr>
                  <w:r>
                    <w:rPr>
                      <w:lang w:val="de-DE" w:eastAsia="en-GB"/>
                    </w:rPr>
                    <w:t>2</w:t>
                  </w:r>
                </w:p>
              </w:tc>
            </w:tr>
            <w:tr w:rsidR="006C69B0" w14:paraId="36580D92"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5AC93F5C" w14:textId="77777777" w:rsidR="006C69B0" w:rsidRDefault="006C69B0" w:rsidP="006C69B0">
                  <w:pPr>
                    <w:jc w:val="center"/>
                    <w:rPr>
                      <w:b/>
                      <w:bCs/>
                      <w:lang w:val="de-DE" w:eastAsia="en-GB"/>
                    </w:rPr>
                  </w:pPr>
                  <w:r>
                    <w:rPr>
                      <w:b/>
                      <w:bCs/>
                      <w:lang w:val="de-DE" w:eastAsia="en-GB"/>
                    </w:rPr>
                    <w:t>30</w:t>
                  </w:r>
                </w:p>
              </w:tc>
              <w:tc>
                <w:tcPr>
                  <w:tcW w:w="963" w:type="dxa"/>
                  <w:tcBorders>
                    <w:top w:val="single" w:sz="4" w:space="0" w:color="auto"/>
                    <w:left w:val="single" w:sz="4" w:space="0" w:color="auto"/>
                    <w:bottom w:val="single" w:sz="4" w:space="0" w:color="auto"/>
                    <w:right w:val="single" w:sz="4" w:space="0" w:color="auto"/>
                  </w:tcBorders>
                  <w:hideMark/>
                </w:tcPr>
                <w:p w14:paraId="75909FBC" w14:textId="77777777" w:rsidR="006C69B0" w:rsidRDefault="006C69B0" w:rsidP="006C69B0">
                  <w:pPr>
                    <w:jc w:val="center"/>
                    <w:rPr>
                      <w:lang w:val="de-DE" w:eastAsia="en-GB"/>
                    </w:rPr>
                  </w:pPr>
                  <w:r>
                    <w:rPr>
                      <w:lang w:val="de-DE" w:eastAsia="en-GB"/>
                    </w:rPr>
                    <w:t>375</w:t>
                  </w:r>
                </w:p>
              </w:tc>
              <w:tc>
                <w:tcPr>
                  <w:tcW w:w="963" w:type="dxa"/>
                  <w:tcBorders>
                    <w:top w:val="single" w:sz="4" w:space="0" w:color="auto"/>
                    <w:left w:val="single" w:sz="4" w:space="0" w:color="auto"/>
                    <w:bottom w:val="single" w:sz="4" w:space="0" w:color="auto"/>
                    <w:right w:val="single" w:sz="4" w:space="0" w:color="auto"/>
                  </w:tcBorders>
                  <w:hideMark/>
                </w:tcPr>
                <w:p w14:paraId="484CDE0A"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47EF1174"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397D7797" w14:textId="77777777" w:rsidR="006C69B0" w:rsidRDefault="006C69B0" w:rsidP="006C69B0">
                  <w:pPr>
                    <w:jc w:val="center"/>
                    <w:rPr>
                      <w:lang w:val="de-DE" w:eastAsia="en-GB"/>
                    </w:rPr>
                  </w:pPr>
                  <w:r>
                    <w:rPr>
                      <w:lang w:val="de-DE" w:eastAsia="en-GB"/>
                    </w:rPr>
                    <w:t>46</w:t>
                  </w:r>
                </w:p>
              </w:tc>
              <w:tc>
                <w:tcPr>
                  <w:tcW w:w="963" w:type="dxa"/>
                  <w:tcBorders>
                    <w:top w:val="single" w:sz="4" w:space="0" w:color="auto"/>
                    <w:left w:val="single" w:sz="4" w:space="0" w:color="auto"/>
                    <w:bottom w:val="single" w:sz="4" w:space="0" w:color="auto"/>
                    <w:right w:val="single" w:sz="4" w:space="0" w:color="auto"/>
                  </w:tcBorders>
                  <w:hideMark/>
                </w:tcPr>
                <w:p w14:paraId="1D61BDA4" w14:textId="77777777" w:rsidR="006C69B0" w:rsidRDefault="006C69B0" w:rsidP="006C69B0">
                  <w:pPr>
                    <w:jc w:val="center"/>
                    <w:rPr>
                      <w:lang w:val="de-DE" w:eastAsia="en-GB"/>
                    </w:rPr>
                  </w:pPr>
                  <w:r>
                    <w:rPr>
                      <w:lang w:val="de-DE" w:eastAsia="en-GB"/>
                    </w:rPr>
                    <w:t>23</w:t>
                  </w:r>
                </w:p>
              </w:tc>
              <w:tc>
                <w:tcPr>
                  <w:tcW w:w="963" w:type="dxa"/>
                  <w:tcBorders>
                    <w:top w:val="single" w:sz="4" w:space="0" w:color="auto"/>
                    <w:left w:val="single" w:sz="4" w:space="0" w:color="auto"/>
                    <w:bottom w:val="single" w:sz="4" w:space="0" w:color="auto"/>
                    <w:right w:val="single" w:sz="4" w:space="0" w:color="auto"/>
                  </w:tcBorders>
                  <w:hideMark/>
                </w:tcPr>
                <w:p w14:paraId="49B4F1A1" w14:textId="77777777" w:rsidR="006C69B0" w:rsidRDefault="006C69B0" w:rsidP="006C69B0">
                  <w:pPr>
                    <w:jc w:val="center"/>
                    <w:rPr>
                      <w:lang w:val="de-DE" w:eastAsia="en-GB"/>
                    </w:rPr>
                  </w:pPr>
                  <w:r>
                    <w:rPr>
                      <w:lang w:val="de-DE" w:eastAsia="en-GB"/>
                    </w:rPr>
                    <w:t>11</w:t>
                  </w:r>
                </w:p>
              </w:tc>
              <w:tc>
                <w:tcPr>
                  <w:tcW w:w="963" w:type="dxa"/>
                  <w:tcBorders>
                    <w:top w:val="single" w:sz="4" w:space="0" w:color="auto"/>
                    <w:left w:val="single" w:sz="4" w:space="0" w:color="auto"/>
                    <w:bottom w:val="single" w:sz="4" w:space="0" w:color="auto"/>
                    <w:right w:val="single" w:sz="4" w:space="0" w:color="auto"/>
                  </w:tcBorders>
                  <w:hideMark/>
                </w:tcPr>
                <w:p w14:paraId="3DA6780B" w14:textId="77777777" w:rsidR="006C69B0" w:rsidRDefault="006C69B0" w:rsidP="006C69B0">
                  <w:pPr>
                    <w:jc w:val="center"/>
                    <w:rPr>
                      <w:lang w:val="de-DE" w:eastAsia="en-GB"/>
                    </w:rPr>
                  </w:pPr>
                  <w:r>
                    <w:rPr>
                      <w:lang w:val="de-DE" w:eastAsia="en-GB"/>
                    </w:rPr>
                    <w:t>5</w:t>
                  </w:r>
                </w:p>
              </w:tc>
            </w:tr>
            <w:tr w:rsidR="006C69B0" w14:paraId="29C0DDF2"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6B0D7021" w14:textId="77777777" w:rsidR="006C69B0" w:rsidRDefault="006C69B0" w:rsidP="006C69B0">
                  <w:pPr>
                    <w:jc w:val="center"/>
                    <w:rPr>
                      <w:b/>
                      <w:bCs/>
                      <w:lang w:val="de-DE" w:eastAsia="en-GB"/>
                    </w:rPr>
                  </w:pPr>
                  <w:r>
                    <w:rPr>
                      <w:b/>
                      <w:bCs/>
                      <w:lang w:val="de-DE" w:eastAsia="en-GB"/>
                    </w:rPr>
                    <w:t>60</w:t>
                  </w:r>
                </w:p>
              </w:tc>
              <w:tc>
                <w:tcPr>
                  <w:tcW w:w="963" w:type="dxa"/>
                  <w:tcBorders>
                    <w:top w:val="single" w:sz="4" w:space="0" w:color="auto"/>
                    <w:left w:val="single" w:sz="4" w:space="0" w:color="auto"/>
                    <w:bottom w:val="single" w:sz="4" w:space="0" w:color="auto"/>
                    <w:right w:val="single" w:sz="4" w:space="0" w:color="auto"/>
                  </w:tcBorders>
                  <w:hideMark/>
                </w:tcPr>
                <w:p w14:paraId="7D9396DF" w14:textId="77777777" w:rsidR="006C69B0" w:rsidRDefault="006C69B0" w:rsidP="006C69B0">
                  <w:pPr>
                    <w:jc w:val="center"/>
                    <w:rPr>
                      <w:lang w:val="de-DE" w:eastAsia="en-GB"/>
                    </w:rPr>
                  </w:pPr>
                  <w:r>
                    <w:rPr>
                      <w:lang w:val="de-DE" w:eastAsia="en-GB"/>
                    </w:rPr>
                    <w:t>750</w:t>
                  </w:r>
                </w:p>
              </w:tc>
              <w:tc>
                <w:tcPr>
                  <w:tcW w:w="963" w:type="dxa"/>
                  <w:tcBorders>
                    <w:top w:val="single" w:sz="4" w:space="0" w:color="auto"/>
                    <w:left w:val="single" w:sz="4" w:space="0" w:color="auto"/>
                    <w:bottom w:val="single" w:sz="4" w:space="0" w:color="auto"/>
                    <w:right w:val="single" w:sz="4" w:space="0" w:color="auto"/>
                  </w:tcBorders>
                  <w:hideMark/>
                </w:tcPr>
                <w:p w14:paraId="220FF701" w14:textId="77777777" w:rsidR="006C69B0" w:rsidRDefault="006C69B0" w:rsidP="006C69B0">
                  <w:pPr>
                    <w:jc w:val="center"/>
                    <w:rPr>
                      <w:lang w:val="de-DE" w:eastAsia="en-GB"/>
                    </w:rPr>
                  </w:pPr>
                  <w:r>
                    <w:rPr>
                      <w:lang w:val="de-DE" w:eastAsia="en-GB"/>
                    </w:rPr>
                    <w:t>375</w:t>
                  </w:r>
                </w:p>
              </w:tc>
              <w:tc>
                <w:tcPr>
                  <w:tcW w:w="963" w:type="dxa"/>
                  <w:tcBorders>
                    <w:top w:val="single" w:sz="4" w:space="0" w:color="auto"/>
                    <w:left w:val="single" w:sz="4" w:space="0" w:color="auto"/>
                    <w:bottom w:val="single" w:sz="4" w:space="0" w:color="auto"/>
                    <w:right w:val="single" w:sz="4" w:space="0" w:color="auto"/>
                  </w:tcBorders>
                  <w:hideMark/>
                </w:tcPr>
                <w:p w14:paraId="59839CEE"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29283FD0"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0824D0E1" w14:textId="77777777" w:rsidR="006C69B0" w:rsidRDefault="006C69B0" w:rsidP="006C69B0">
                  <w:pPr>
                    <w:jc w:val="center"/>
                    <w:rPr>
                      <w:lang w:val="de-DE" w:eastAsia="en-GB"/>
                    </w:rPr>
                  </w:pPr>
                  <w:r>
                    <w:rPr>
                      <w:lang w:val="de-DE" w:eastAsia="en-GB"/>
                    </w:rPr>
                    <w:t>46</w:t>
                  </w:r>
                </w:p>
              </w:tc>
              <w:tc>
                <w:tcPr>
                  <w:tcW w:w="963" w:type="dxa"/>
                  <w:tcBorders>
                    <w:top w:val="single" w:sz="4" w:space="0" w:color="auto"/>
                    <w:left w:val="single" w:sz="4" w:space="0" w:color="auto"/>
                    <w:bottom w:val="single" w:sz="4" w:space="0" w:color="auto"/>
                    <w:right w:val="single" w:sz="4" w:space="0" w:color="auto"/>
                  </w:tcBorders>
                  <w:hideMark/>
                </w:tcPr>
                <w:p w14:paraId="076DF1B4" w14:textId="77777777" w:rsidR="006C69B0" w:rsidRDefault="006C69B0" w:rsidP="006C69B0">
                  <w:pPr>
                    <w:jc w:val="center"/>
                    <w:rPr>
                      <w:lang w:val="de-DE" w:eastAsia="en-GB"/>
                    </w:rPr>
                  </w:pPr>
                  <w:r>
                    <w:rPr>
                      <w:lang w:val="de-DE" w:eastAsia="en-GB"/>
                    </w:rPr>
                    <w:t>23</w:t>
                  </w:r>
                </w:p>
              </w:tc>
              <w:tc>
                <w:tcPr>
                  <w:tcW w:w="963" w:type="dxa"/>
                  <w:tcBorders>
                    <w:top w:val="single" w:sz="4" w:space="0" w:color="auto"/>
                    <w:left w:val="single" w:sz="4" w:space="0" w:color="auto"/>
                    <w:bottom w:val="single" w:sz="4" w:space="0" w:color="auto"/>
                    <w:right w:val="single" w:sz="4" w:space="0" w:color="auto"/>
                  </w:tcBorders>
                  <w:hideMark/>
                </w:tcPr>
                <w:p w14:paraId="1FDE2F14" w14:textId="77777777" w:rsidR="006C69B0" w:rsidRDefault="006C69B0" w:rsidP="006C69B0">
                  <w:pPr>
                    <w:jc w:val="center"/>
                    <w:rPr>
                      <w:lang w:val="de-DE" w:eastAsia="en-GB"/>
                    </w:rPr>
                  </w:pPr>
                  <w:r>
                    <w:rPr>
                      <w:lang w:val="de-DE" w:eastAsia="en-GB"/>
                    </w:rPr>
                    <w:t>11</w:t>
                  </w:r>
                </w:p>
              </w:tc>
            </w:tr>
            <w:tr w:rsidR="006C69B0" w14:paraId="60A4B001"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670F51EC" w14:textId="77777777" w:rsidR="006C69B0" w:rsidRDefault="006C69B0" w:rsidP="006C69B0">
                  <w:pPr>
                    <w:jc w:val="center"/>
                    <w:rPr>
                      <w:b/>
                      <w:bCs/>
                      <w:lang w:val="de-DE" w:eastAsia="en-GB"/>
                    </w:rPr>
                  </w:pPr>
                  <w:r>
                    <w:rPr>
                      <w:b/>
                      <w:bCs/>
                      <w:lang w:val="de-DE" w:eastAsia="en-GB"/>
                    </w:rPr>
                    <w:t>120</w:t>
                  </w:r>
                </w:p>
              </w:tc>
              <w:tc>
                <w:tcPr>
                  <w:tcW w:w="963" w:type="dxa"/>
                  <w:tcBorders>
                    <w:top w:val="single" w:sz="4" w:space="0" w:color="auto"/>
                    <w:left w:val="single" w:sz="4" w:space="0" w:color="auto"/>
                    <w:bottom w:val="single" w:sz="4" w:space="0" w:color="auto"/>
                    <w:right w:val="single" w:sz="4" w:space="0" w:color="auto"/>
                  </w:tcBorders>
                  <w:hideMark/>
                </w:tcPr>
                <w:p w14:paraId="51C6AFBD" w14:textId="77777777" w:rsidR="006C69B0" w:rsidRDefault="006C69B0" w:rsidP="006C69B0">
                  <w:pPr>
                    <w:jc w:val="center"/>
                    <w:rPr>
                      <w:lang w:val="de-DE" w:eastAsia="en-GB"/>
                    </w:rPr>
                  </w:pPr>
                  <w:r>
                    <w:rPr>
                      <w:lang w:val="de-DE" w:eastAsia="en-GB"/>
                    </w:rPr>
                    <w:t>1500</w:t>
                  </w:r>
                </w:p>
              </w:tc>
              <w:tc>
                <w:tcPr>
                  <w:tcW w:w="963" w:type="dxa"/>
                  <w:tcBorders>
                    <w:top w:val="single" w:sz="4" w:space="0" w:color="auto"/>
                    <w:left w:val="single" w:sz="4" w:space="0" w:color="auto"/>
                    <w:bottom w:val="single" w:sz="4" w:space="0" w:color="auto"/>
                    <w:right w:val="single" w:sz="4" w:space="0" w:color="auto"/>
                  </w:tcBorders>
                  <w:hideMark/>
                </w:tcPr>
                <w:p w14:paraId="4E50B9CE" w14:textId="77777777" w:rsidR="006C69B0" w:rsidRDefault="006C69B0" w:rsidP="006C69B0">
                  <w:pPr>
                    <w:jc w:val="center"/>
                    <w:rPr>
                      <w:lang w:val="de-DE" w:eastAsia="en-GB"/>
                    </w:rPr>
                  </w:pPr>
                  <w:r>
                    <w:rPr>
                      <w:lang w:val="de-DE" w:eastAsia="en-GB"/>
                    </w:rPr>
                    <w:t>750</w:t>
                  </w:r>
                </w:p>
              </w:tc>
              <w:tc>
                <w:tcPr>
                  <w:tcW w:w="963" w:type="dxa"/>
                  <w:tcBorders>
                    <w:top w:val="single" w:sz="4" w:space="0" w:color="auto"/>
                    <w:left w:val="single" w:sz="4" w:space="0" w:color="auto"/>
                    <w:bottom w:val="single" w:sz="4" w:space="0" w:color="auto"/>
                    <w:right w:val="single" w:sz="4" w:space="0" w:color="auto"/>
                  </w:tcBorders>
                  <w:hideMark/>
                </w:tcPr>
                <w:p w14:paraId="09F4ED01" w14:textId="77777777" w:rsidR="006C69B0" w:rsidRDefault="006C69B0" w:rsidP="006C69B0">
                  <w:pPr>
                    <w:jc w:val="center"/>
                    <w:rPr>
                      <w:lang w:val="de-DE" w:eastAsia="en-GB"/>
                    </w:rPr>
                  </w:pPr>
                  <w:r>
                    <w:rPr>
                      <w:lang w:val="de-DE" w:eastAsia="en-GB"/>
                    </w:rPr>
                    <w:t>375</w:t>
                  </w:r>
                </w:p>
              </w:tc>
              <w:tc>
                <w:tcPr>
                  <w:tcW w:w="963" w:type="dxa"/>
                  <w:tcBorders>
                    <w:top w:val="single" w:sz="4" w:space="0" w:color="auto"/>
                    <w:left w:val="single" w:sz="4" w:space="0" w:color="auto"/>
                    <w:bottom w:val="single" w:sz="4" w:space="0" w:color="auto"/>
                    <w:right w:val="single" w:sz="4" w:space="0" w:color="auto"/>
                  </w:tcBorders>
                  <w:hideMark/>
                </w:tcPr>
                <w:p w14:paraId="1434F8B0"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4F3529B0"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458D3627" w14:textId="77777777" w:rsidR="006C69B0" w:rsidRDefault="006C69B0" w:rsidP="006C69B0">
                  <w:pPr>
                    <w:jc w:val="center"/>
                    <w:rPr>
                      <w:lang w:val="de-DE" w:eastAsia="en-GB"/>
                    </w:rPr>
                  </w:pPr>
                  <w:r>
                    <w:rPr>
                      <w:lang w:val="de-DE" w:eastAsia="en-GB"/>
                    </w:rPr>
                    <w:t>46</w:t>
                  </w:r>
                </w:p>
              </w:tc>
              <w:tc>
                <w:tcPr>
                  <w:tcW w:w="963" w:type="dxa"/>
                  <w:tcBorders>
                    <w:top w:val="single" w:sz="4" w:space="0" w:color="auto"/>
                    <w:left w:val="single" w:sz="4" w:space="0" w:color="auto"/>
                    <w:bottom w:val="single" w:sz="4" w:space="0" w:color="auto"/>
                    <w:right w:val="single" w:sz="4" w:space="0" w:color="auto"/>
                  </w:tcBorders>
                  <w:hideMark/>
                </w:tcPr>
                <w:p w14:paraId="5563619D" w14:textId="77777777" w:rsidR="006C69B0" w:rsidRDefault="006C69B0" w:rsidP="006C69B0">
                  <w:pPr>
                    <w:jc w:val="center"/>
                    <w:rPr>
                      <w:lang w:val="de-DE" w:eastAsia="en-GB"/>
                    </w:rPr>
                  </w:pPr>
                  <w:r>
                    <w:rPr>
                      <w:lang w:val="de-DE" w:eastAsia="en-GB"/>
                    </w:rPr>
                    <w:t>23</w:t>
                  </w:r>
                </w:p>
              </w:tc>
            </w:tr>
            <w:tr w:rsidR="006C69B0" w14:paraId="12A3B61A"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29010CC0" w14:textId="77777777" w:rsidR="006C69B0" w:rsidRDefault="006C69B0" w:rsidP="006C69B0">
                  <w:pPr>
                    <w:jc w:val="center"/>
                    <w:rPr>
                      <w:b/>
                      <w:bCs/>
                      <w:lang w:val="de-DE" w:eastAsia="en-GB"/>
                    </w:rPr>
                  </w:pPr>
                  <w:r>
                    <w:rPr>
                      <w:b/>
                      <w:bCs/>
                      <w:lang w:val="de-DE" w:eastAsia="en-GB"/>
                    </w:rPr>
                    <w:t>180</w:t>
                  </w:r>
                </w:p>
              </w:tc>
              <w:tc>
                <w:tcPr>
                  <w:tcW w:w="963" w:type="dxa"/>
                  <w:tcBorders>
                    <w:top w:val="single" w:sz="4" w:space="0" w:color="auto"/>
                    <w:left w:val="single" w:sz="4" w:space="0" w:color="auto"/>
                    <w:bottom w:val="single" w:sz="4" w:space="0" w:color="auto"/>
                    <w:right w:val="single" w:sz="4" w:space="0" w:color="auto"/>
                  </w:tcBorders>
                  <w:hideMark/>
                </w:tcPr>
                <w:p w14:paraId="2852FB4B" w14:textId="77777777" w:rsidR="006C69B0" w:rsidRDefault="006C69B0" w:rsidP="006C69B0">
                  <w:pPr>
                    <w:jc w:val="center"/>
                    <w:rPr>
                      <w:lang w:val="de-DE" w:eastAsia="en-GB"/>
                    </w:rPr>
                  </w:pPr>
                  <w:r>
                    <w:rPr>
                      <w:lang w:val="de-DE" w:eastAsia="en-GB"/>
                    </w:rPr>
                    <w:t>2250</w:t>
                  </w:r>
                </w:p>
              </w:tc>
              <w:tc>
                <w:tcPr>
                  <w:tcW w:w="963" w:type="dxa"/>
                  <w:tcBorders>
                    <w:top w:val="single" w:sz="4" w:space="0" w:color="auto"/>
                    <w:left w:val="single" w:sz="4" w:space="0" w:color="auto"/>
                    <w:bottom w:val="single" w:sz="4" w:space="0" w:color="auto"/>
                    <w:right w:val="single" w:sz="4" w:space="0" w:color="auto"/>
                  </w:tcBorders>
                  <w:hideMark/>
                </w:tcPr>
                <w:p w14:paraId="127F220C" w14:textId="77777777" w:rsidR="006C69B0" w:rsidRDefault="006C69B0" w:rsidP="006C69B0">
                  <w:pPr>
                    <w:jc w:val="center"/>
                    <w:rPr>
                      <w:lang w:val="de-DE" w:eastAsia="en-GB"/>
                    </w:rPr>
                  </w:pPr>
                  <w:r>
                    <w:rPr>
                      <w:lang w:val="de-DE" w:eastAsia="en-GB"/>
                    </w:rPr>
                    <w:t>1125</w:t>
                  </w:r>
                </w:p>
              </w:tc>
              <w:tc>
                <w:tcPr>
                  <w:tcW w:w="963" w:type="dxa"/>
                  <w:tcBorders>
                    <w:top w:val="single" w:sz="4" w:space="0" w:color="auto"/>
                    <w:left w:val="single" w:sz="4" w:space="0" w:color="auto"/>
                    <w:bottom w:val="single" w:sz="4" w:space="0" w:color="auto"/>
                    <w:right w:val="single" w:sz="4" w:space="0" w:color="auto"/>
                  </w:tcBorders>
                  <w:hideMark/>
                </w:tcPr>
                <w:p w14:paraId="3249E9DF" w14:textId="77777777" w:rsidR="006C69B0" w:rsidRDefault="006C69B0" w:rsidP="006C69B0">
                  <w:pPr>
                    <w:jc w:val="center"/>
                    <w:rPr>
                      <w:lang w:val="de-DE" w:eastAsia="en-GB"/>
                    </w:rPr>
                  </w:pPr>
                  <w:r>
                    <w:rPr>
                      <w:lang w:val="de-DE" w:eastAsia="en-GB"/>
                    </w:rPr>
                    <w:t>562</w:t>
                  </w:r>
                </w:p>
              </w:tc>
              <w:tc>
                <w:tcPr>
                  <w:tcW w:w="963" w:type="dxa"/>
                  <w:tcBorders>
                    <w:top w:val="single" w:sz="4" w:space="0" w:color="auto"/>
                    <w:left w:val="single" w:sz="4" w:space="0" w:color="auto"/>
                    <w:bottom w:val="single" w:sz="4" w:space="0" w:color="auto"/>
                    <w:right w:val="single" w:sz="4" w:space="0" w:color="auto"/>
                  </w:tcBorders>
                  <w:hideMark/>
                </w:tcPr>
                <w:p w14:paraId="589DDCBD" w14:textId="77777777" w:rsidR="006C69B0" w:rsidRDefault="006C69B0" w:rsidP="006C69B0">
                  <w:pPr>
                    <w:jc w:val="center"/>
                    <w:rPr>
                      <w:lang w:val="de-DE" w:eastAsia="en-GB"/>
                    </w:rPr>
                  </w:pPr>
                  <w:r>
                    <w:rPr>
                      <w:lang w:val="de-DE" w:eastAsia="en-GB"/>
                    </w:rPr>
                    <w:t>281</w:t>
                  </w:r>
                </w:p>
              </w:tc>
              <w:tc>
                <w:tcPr>
                  <w:tcW w:w="963" w:type="dxa"/>
                  <w:tcBorders>
                    <w:top w:val="single" w:sz="4" w:space="0" w:color="auto"/>
                    <w:left w:val="single" w:sz="4" w:space="0" w:color="auto"/>
                    <w:bottom w:val="single" w:sz="4" w:space="0" w:color="auto"/>
                    <w:right w:val="single" w:sz="4" w:space="0" w:color="auto"/>
                  </w:tcBorders>
                  <w:hideMark/>
                </w:tcPr>
                <w:p w14:paraId="3B2A1880" w14:textId="77777777" w:rsidR="006C69B0" w:rsidRDefault="006C69B0" w:rsidP="006C69B0">
                  <w:pPr>
                    <w:jc w:val="center"/>
                    <w:rPr>
                      <w:lang w:val="de-DE" w:eastAsia="en-GB"/>
                    </w:rPr>
                  </w:pPr>
                  <w:r>
                    <w:rPr>
                      <w:lang w:val="de-DE" w:eastAsia="en-GB"/>
                    </w:rPr>
                    <w:t>140</w:t>
                  </w:r>
                </w:p>
              </w:tc>
              <w:tc>
                <w:tcPr>
                  <w:tcW w:w="963" w:type="dxa"/>
                  <w:tcBorders>
                    <w:top w:val="single" w:sz="4" w:space="0" w:color="auto"/>
                    <w:left w:val="single" w:sz="4" w:space="0" w:color="auto"/>
                    <w:bottom w:val="single" w:sz="4" w:space="0" w:color="auto"/>
                    <w:right w:val="single" w:sz="4" w:space="0" w:color="auto"/>
                  </w:tcBorders>
                  <w:hideMark/>
                </w:tcPr>
                <w:p w14:paraId="58FAB82C" w14:textId="77777777" w:rsidR="006C69B0" w:rsidRDefault="006C69B0" w:rsidP="006C69B0">
                  <w:pPr>
                    <w:jc w:val="center"/>
                    <w:rPr>
                      <w:lang w:val="de-DE" w:eastAsia="en-GB"/>
                    </w:rPr>
                  </w:pPr>
                  <w:r>
                    <w:rPr>
                      <w:lang w:val="de-DE" w:eastAsia="en-GB"/>
                    </w:rPr>
                    <w:t>70</w:t>
                  </w:r>
                </w:p>
              </w:tc>
              <w:tc>
                <w:tcPr>
                  <w:tcW w:w="963" w:type="dxa"/>
                  <w:tcBorders>
                    <w:top w:val="single" w:sz="4" w:space="0" w:color="auto"/>
                    <w:left w:val="single" w:sz="4" w:space="0" w:color="auto"/>
                    <w:bottom w:val="single" w:sz="4" w:space="0" w:color="auto"/>
                    <w:right w:val="single" w:sz="4" w:space="0" w:color="auto"/>
                  </w:tcBorders>
                  <w:hideMark/>
                </w:tcPr>
                <w:p w14:paraId="25784960" w14:textId="77777777" w:rsidR="006C69B0" w:rsidRDefault="006C69B0" w:rsidP="006C69B0">
                  <w:pPr>
                    <w:jc w:val="center"/>
                    <w:rPr>
                      <w:lang w:val="de-DE" w:eastAsia="en-GB"/>
                    </w:rPr>
                  </w:pPr>
                  <w:r>
                    <w:rPr>
                      <w:lang w:val="de-DE" w:eastAsia="en-GB"/>
                    </w:rPr>
                    <w:t>35</w:t>
                  </w:r>
                </w:p>
              </w:tc>
            </w:tr>
            <w:tr w:rsidR="006C69B0" w14:paraId="2B72D54A"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2D8DCF33" w14:textId="77777777" w:rsidR="006C69B0" w:rsidRDefault="006C69B0" w:rsidP="006C69B0">
                  <w:pPr>
                    <w:jc w:val="center"/>
                    <w:rPr>
                      <w:b/>
                      <w:bCs/>
                      <w:lang w:val="de-DE" w:eastAsia="en-GB"/>
                    </w:rPr>
                  </w:pPr>
                  <w:r>
                    <w:rPr>
                      <w:b/>
                      <w:bCs/>
                      <w:lang w:val="de-DE" w:eastAsia="en-GB"/>
                    </w:rPr>
                    <w:t>240</w:t>
                  </w:r>
                </w:p>
              </w:tc>
              <w:tc>
                <w:tcPr>
                  <w:tcW w:w="963" w:type="dxa"/>
                  <w:tcBorders>
                    <w:top w:val="single" w:sz="4" w:space="0" w:color="auto"/>
                    <w:left w:val="single" w:sz="4" w:space="0" w:color="auto"/>
                    <w:bottom w:val="single" w:sz="4" w:space="0" w:color="auto"/>
                    <w:right w:val="single" w:sz="4" w:space="0" w:color="auto"/>
                  </w:tcBorders>
                  <w:hideMark/>
                </w:tcPr>
                <w:p w14:paraId="3452A381" w14:textId="77777777" w:rsidR="006C69B0" w:rsidRDefault="006C69B0" w:rsidP="006C69B0">
                  <w:pPr>
                    <w:jc w:val="center"/>
                    <w:rPr>
                      <w:lang w:val="de-DE" w:eastAsia="en-GB"/>
                    </w:rPr>
                  </w:pPr>
                  <w:r>
                    <w:rPr>
                      <w:lang w:val="de-DE" w:eastAsia="en-GB"/>
                    </w:rPr>
                    <w:t>3000</w:t>
                  </w:r>
                </w:p>
              </w:tc>
              <w:tc>
                <w:tcPr>
                  <w:tcW w:w="963" w:type="dxa"/>
                  <w:tcBorders>
                    <w:top w:val="single" w:sz="4" w:space="0" w:color="auto"/>
                    <w:left w:val="single" w:sz="4" w:space="0" w:color="auto"/>
                    <w:bottom w:val="single" w:sz="4" w:space="0" w:color="auto"/>
                    <w:right w:val="single" w:sz="4" w:space="0" w:color="auto"/>
                  </w:tcBorders>
                  <w:hideMark/>
                </w:tcPr>
                <w:p w14:paraId="61576CBE" w14:textId="77777777" w:rsidR="006C69B0" w:rsidRDefault="006C69B0" w:rsidP="006C69B0">
                  <w:pPr>
                    <w:jc w:val="center"/>
                    <w:rPr>
                      <w:lang w:val="de-DE" w:eastAsia="en-GB"/>
                    </w:rPr>
                  </w:pPr>
                  <w:r>
                    <w:rPr>
                      <w:lang w:val="de-DE" w:eastAsia="en-GB"/>
                    </w:rPr>
                    <w:t>1500</w:t>
                  </w:r>
                </w:p>
              </w:tc>
              <w:tc>
                <w:tcPr>
                  <w:tcW w:w="963" w:type="dxa"/>
                  <w:tcBorders>
                    <w:top w:val="single" w:sz="4" w:space="0" w:color="auto"/>
                    <w:left w:val="single" w:sz="4" w:space="0" w:color="auto"/>
                    <w:bottom w:val="single" w:sz="4" w:space="0" w:color="auto"/>
                    <w:right w:val="single" w:sz="4" w:space="0" w:color="auto"/>
                  </w:tcBorders>
                  <w:hideMark/>
                </w:tcPr>
                <w:p w14:paraId="71F3AFE7" w14:textId="77777777" w:rsidR="006C69B0" w:rsidRDefault="006C69B0" w:rsidP="006C69B0">
                  <w:pPr>
                    <w:jc w:val="center"/>
                    <w:rPr>
                      <w:lang w:val="de-DE" w:eastAsia="en-GB"/>
                    </w:rPr>
                  </w:pPr>
                  <w:r>
                    <w:rPr>
                      <w:lang w:val="de-DE" w:eastAsia="en-GB"/>
                    </w:rPr>
                    <w:t>750</w:t>
                  </w:r>
                </w:p>
              </w:tc>
              <w:tc>
                <w:tcPr>
                  <w:tcW w:w="963" w:type="dxa"/>
                  <w:tcBorders>
                    <w:top w:val="single" w:sz="4" w:space="0" w:color="auto"/>
                    <w:left w:val="single" w:sz="4" w:space="0" w:color="auto"/>
                    <w:bottom w:val="single" w:sz="4" w:space="0" w:color="auto"/>
                    <w:right w:val="single" w:sz="4" w:space="0" w:color="auto"/>
                  </w:tcBorders>
                  <w:hideMark/>
                </w:tcPr>
                <w:p w14:paraId="2CB02CED" w14:textId="77777777" w:rsidR="006C69B0" w:rsidRDefault="006C69B0" w:rsidP="006C69B0">
                  <w:pPr>
                    <w:jc w:val="center"/>
                    <w:rPr>
                      <w:lang w:val="de-DE" w:eastAsia="en-GB"/>
                    </w:rPr>
                  </w:pPr>
                  <w:r>
                    <w:rPr>
                      <w:lang w:val="de-DE" w:eastAsia="en-GB"/>
                    </w:rPr>
                    <w:t>375</w:t>
                  </w:r>
                </w:p>
              </w:tc>
              <w:tc>
                <w:tcPr>
                  <w:tcW w:w="963" w:type="dxa"/>
                  <w:tcBorders>
                    <w:top w:val="single" w:sz="4" w:space="0" w:color="auto"/>
                    <w:left w:val="single" w:sz="4" w:space="0" w:color="auto"/>
                    <w:bottom w:val="single" w:sz="4" w:space="0" w:color="auto"/>
                    <w:right w:val="single" w:sz="4" w:space="0" w:color="auto"/>
                  </w:tcBorders>
                  <w:hideMark/>
                </w:tcPr>
                <w:p w14:paraId="7DB84B3F"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222BB736"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022047E5" w14:textId="77777777" w:rsidR="006C69B0" w:rsidRDefault="006C69B0" w:rsidP="006C69B0">
                  <w:pPr>
                    <w:jc w:val="center"/>
                    <w:rPr>
                      <w:lang w:val="de-DE" w:eastAsia="en-GB"/>
                    </w:rPr>
                  </w:pPr>
                  <w:r>
                    <w:rPr>
                      <w:lang w:val="de-DE" w:eastAsia="en-GB"/>
                    </w:rPr>
                    <w:t>46</w:t>
                  </w:r>
                </w:p>
              </w:tc>
            </w:tr>
            <w:tr w:rsidR="006C69B0" w14:paraId="505A4A60"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6F6D3B18" w14:textId="77777777" w:rsidR="006C69B0" w:rsidRDefault="006C69B0" w:rsidP="006C69B0">
                  <w:pPr>
                    <w:jc w:val="center"/>
                    <w:rPr>
                      <w:b/>
                      <w:bCs/>
                      <w:lang w:val="de-DE" w:eastAsia="en-GB"/>
                    </w:rPr>
                  </w:pPr>
                  <w:r>
                    <w:rPr>
                      <w:b/>
                      <w:bCs/>
                      <w:lang w:val="de-DE" w:eastAsia="en-GB"/>
                    </w:rPr>
                    <w:t>900</w:t>
                  </w:r>
                </w:p>
              </w:tc>
              <w:tc>
                <w:tcPr>
                  <w:tcW w:w="963" w:type="dxa"/>
                  <w:tcBorders>
                    <w:top w:val="single" w:sz="4" w:space="0" w:color="auto"/>
                    <w:left w:val="single" w:sz="4" w:space="0" w:color="auto"/>
                    <w:bottom w:val="single" w:sz="4" w:space="0" w:color="auto"/>
                    <w:right w:val="single" w:sz="4" w:space="0" w:color="auto"/>
                  </w:tcBorders>
                  <w:hideMark/>
                </w:tcPr>
                <w:p w14:paraId="4C80F5F0" w14:textId="77777777" w:rsidR="006C69B0" w:rsidRDefault="006C69B0" w:rsidP="006C69B0">
                  <w:pPr>
                    <w:jc w:val="center"/>
                    <w:rPr>
                      <w:lang w:val="de-DE" w:eastAsia="en-GB"/>
                    </w:rPr>
                  </w:pPr>
                  <w:r>
                    <w:rPr>
                      <w:lang w:val="de-DE" w:eastAsia="en-GB"/>
                    </w:rPr>
                    <w:t>11250</w:t>
                  </w:r>
                </w:p>
              </w:tc>
              <w:tc>
                <w:tcPr>
                  <w:tcW w:w="963" w:type="dxa"/>
                  <w:tcBorders>
                    <w:top w:val="single" w:sz="4" w:space="0" w:color="auto"/>
                    <w:left w:val="single" w:sz="4" w:space="0" w:color="auto"/>
                    <w:bottom w:val="single" w:sz="4" w:space="0" w:color="auto"/>
                    <w:right w:val="single" w:sz="4" w:space="0" w:color="auto"/>
                  </w:tcBorders>
                  <w:hideMark/>
                </w:tcPr>
                <w:p w14:paraId="0A67D986" w14:textId="77777777" w:rsidR="006C69B0" w:rsidRDefault="006C69B0" w:rsidP="006C69B0">
                  <w:pPr>
                    <w:jc w:val="center"/>
                    <w:rPr>
                      <w:lang w:val="de-DE" w:eastAsia="en-GB"/>
                    </w:rPr>
                  </w:pPr>
                  <w:r>
                    <w:rPr>
                      <w:lang w:val="de-DE" w:eastAsia="en-GB"/>
                    </w:rPr>
                    <w:t>5625</w:t>
                  </w:r>
                </w:p>
              </w:tc>
              <w:tc>
                <w:tcPr>
                  <w:tcW w:w="963" w:type="dxa"/>
                  <w:tcBorders>
                    <w:top w:val="single" w:sz="4" w:space="0" w:color="auto"/>
                    <w:left w:val="single" w:sz="4" w:space="0" w:color="auto"/>
                    <w:bottom w:val="single" w:sz="4" w:space="0" w:color="auto"/>
                    <w:right w:val="single" w:sz="4" w:space="0" w:color="auto"/>
                  </w:tcBorders>
                  <w:hideMark/>
                </w:tcPr>
                <w:p w14:paraId="4D109B48" w14:textId="77777777" w:rsidR="006C69B0" w:rsidRDefault="006C69B0" w:rsidP="006C69B0">
                  <w:pPr>
                    <w:jc w:val="center"/>
                    <w:rPr>
                      <w:lang w:val="de-DE" w:eastAsia="en-GB"/>
                    </w:rPr>
                  </w:pPr>
                  <w:r>
                    <w:rPr>
                      <w:lang w:val="de-DE" w:eastAsia="en-GB"/>
                    </w:rPr>
                    <w:t>2812</w:t>
                  </w:r>
                </w:p>
              </w:tc>
              <w:tc>
                <w:tcPr>
                  <w:tcW w:w="963" w:type="dxa"/>
                  <w:tcBorders>
                    <w:top w:val="single" w:sz="4" w:space="0" w:color="auto"/>
                    <w:left w:val="single" w:sz="4" w:space="0" w:color="auto"/>
                    <w:bottom w:val="single" w:sz="4" w:space="0" w:color="auto"/>
                    <w:right w:val="single" w:sz="4" w:space="0" w:color="auto"/>
                  </w:tcBorders>
                  <w:hideMark/>
                </w:tcPr>
                <w:p w14:paraId="1121FC70" w14:textId="77777777" w:rsidR="006C69B0" w:rsidRDefault="006C69B0" w:rsidP="006C69B0">
                  <w:pPr>
                    <w:jc w:val="center"/>
                    <w:rPr>
                      <w:lang w:val="de-DE" w:eastAsia="en-GB"/>
                    </w:rPr>
                  </w:pPr>
                  <w:r>
                    <w:rPr>
                      <w:lang w:val="de-DE" w:eastAsia="en-GB"/>
                    </w:rPr>
                    <w:t>1406</w:t>
                  </w:r>
                </w:p>
              </w:tc>
              <w:tc>
                <w:tcPr>
                  <w:tcW w:w="963" w:type="dxa"/>
                  <w:tcBorders>
                    <w:top w:val="single" w:sz="4" w:space="0" w:color="auto"/>
                    <w:left w:val="single" w:sz="4" w:space="0" w:color="auto"/>
                    <w:bottom w:val="single" w:sz="4" w:space="0" w:color="auto"/>
                    <w:right w:val="single" w:sz="4" w:space="0" w:color="auto"/>
                  </w:tcBorders>
                  <w:hideMark/>
                </w:tcPr>
                <w:p w14:paraId="5FDE2203" w14:textId="77777777" w:rsidR="006C69B0" w:rsidRDefault="006C69B0" w:rsidP="006C69B0">
                  <w:pPr>
                    <w:jc w:val="center"/>
                    <w:rPr>
                      <w:lang w:val="de-DE" w:eastAsia="en-GB"/>
                    </w:rPr>
                  </w:pPr>
                  <w:r>
                    <w:rPr>
                      <w:lang w:val="de-DE" w:eastAsia="en-GB"/>
                    </w:rPr>
                    <w:t>703</w:t>
                  </w:r>
                </w:p>
              </w:tc>
              <w:tc>
                <w:tcPr>
                  <w:tcW w:w="963" w:type="dxa"/>
                  <w:tcBorders>
                    <w:top w:val="single" w:sz="4" w:space="0" w:color="auto"/>
                    <w:left w:val="single" w:sz="4" w:space="0" w:color="auto"/>
                    <w:bottom w:val="single" w:sz="4" w:space="0" w:color="auto"/>
                    <w:right w:val="single" w:sz="4" w:space="0" w:color="auto"/>
                  </w:tcBorders>
                  <w:hideMark/>
                </w:tcPr>
                <w:p w14:paraId="67CBB84F" w14:textId="77777777" w:rsidR="006C69B0" w:rsidRDefault="006C69B0" w:rsidP="006C69B0">
                  <w:pPr>
                    <w:jc w:val="center"/>
                    <w:rPr>
                      <w:lang w:val="de-DE" w:eastAsia="en-GB"/>
                    </w:rPr>
                  </w:pPr>
                  <w:r>
                    <w:rPr>
                      <w:lang w:val="de-DE" w:eastAsia="en-GB"/>
                    </w:rPr>
                    <w:t>351</w:t>
                  </w:r>
                </w:p>
              </w:tc>
              <w:tc>
                <w:tcPr>
                  <w:tcW w:w="963" w:type="dxa"/>
                  <w:tcBorders>
                    <w:top w:val="single" w:sz="4" w:space="0" w:color="auto"/>
                    <w:left w:val="single" w:sz="4" w:space="0" w:color="auto"/>
                    <w:bottom w:val="single" w:sz="4" w:space="0" w:color="auto"/>
                    <w:right w:val="single" w:sz="4" w:space="0" w:color="auto"/>
                  </w:tcBorders>
                  <w:hideMark/>
                </w:tcPr>
                <w:p w14:paraId="0D6AAC22" w14:textId="77777777" w:rsidR="006C69B0" w:rsidRDefault="006C69B0" w:rsidP="006C69B0">
                  <w:pPr>
                    <w:jc w:val="center"/>
                    <w:rPr>
                      <w:lang w:val="de-DE" w:eastAsia="en-GB"/>
                    </w:rPr>
                  </w:pPr>
                  <w:r>
                    <w:rPr>
                      <w:lang w:val="de-DE" w:eastAsia="en-GB"/>
                    </w:rPr>
                    <w:t>175</w:t>
                  </w:r>
                </w:p>
              </w:tc>
            </w:tr>
          </w:tbl>
          <w:p w14:paraId="678F1E5E" w14:textId="77777777" w:rsidR="006C69B0" w:rsidRDefault="006C69B0">
            <w:pPr>
              <w:pStyle w:val="Eqn"/>
              <w:rPr>
                <w:color w:val="365F91" w:themeColor="accent1" w:themeShade="BF"/>
              </w:rPr>
            </w:pPr>
          </w:p>
          <w:p w14:paraId="72C2D99C" w14:textId="1D190D87" w:rsidR="00744CB4" w:rsidRPr="006C69B0" w:rsidRDefault="00744CB4">
            <w:pPr>
              <w:pStyle w:val="Eqn"/>
              <w:rPr>
                <w:color w:val="365F91" w:themeColor="accent1" w:themeShade="BF"/>
              </w:rPr>
            </w:pPr>
          </w:p>
        </w:tc>
      </w:tr>
      <w:tr w:rsidR="00A16361" w14:paraId="09069610" w14:textId="77777777">
        <w:trPr>
          <w:trHeight w:val="398"/>
          <w:jc w:val="center"/>
        </w:trPr>
        <w:tc>
          <w:tcPr>
            <w:tcW w:w="2547" w:type="dxa"/>
            <w:shd w:val="clear" w:color="auto" w:fill="auto"/>
            <w:vAlign w:val="center"/>
          </w:tcPr>
          <w:p w14:paraId="3A6C1D66" w14:textId="793AE8AF" w:rsidR="00A16361" w:rsidRPr="003C295D" w:rsidRDefault="003C295D">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B2BC3E2" w14:textId="1EA7B2F4" w:rsidR="00A16361" w:rsidRDefault="003C295D">
            <w:pPr>
              <w:pStyle w:val="Eqn"/>
              <w:rPr>
                <w:sz w:val="20"/>
                <w:szCs w:val="20"/>
                <w:lang w:eastAsia="zh-CN"/>
              </w:rPr>
            </w:pPr>
            <w:r>
              <w:rPr>
                <w:rFonts w:hint="eastAsia"/>
                <w:sz w:val="20"/>
                <w:szCs w:val="20"/>
                <w:lang w:eastAsia="zh-CN"/>
              </w:rPr>
              <w:t>W</w:t>
            </w:r>
            <w:r>
              <w:rPr>
                <w:sz w:val="20"/>
                <w:szCs w:val="20"/>
                <w:lang w:eastAsia="zh-CN"/>
              </w:rPr>
              <w:t xml:space="preserve">e are open to discuss SIB accumulation to improve coverage, but also fine with FL recommendation. If SIB accumulation is applied, the network may directly </w:t>
            </w:r>
            <w:r w:rsidR="00C52EB5">
              <w:rPr>
                <w:sz w:val="20"/>
                <w:szCs w:val="20"/>
                <w:lang w:eastAsia="zh-CN"/>
              </w:rPr>
              <w:t>broadcast</w:t>
            </w:r>
            <w:r>
              <w:rPr>
                <w:sz w:val="20"/>
                <w:szCs w:val="20"/>
                <w:lang w:eastAsia="zh-CN"/>
              </w:rPr>
              <w:t xml:space="preserve"> the number of SI windows among which the SIB is repeated, which is the </w:t>
            </w:r>
            <w:proofErr w:type="gramStart"/>
            <w:r>
              <w:rPr>
                <w:sz w:val="20"/>
                <w:szCs w:val="20"/>
                <w:lang w:eastAsia="zh-CN"/>
              </w:rPr>
              <w:t>most simple</w:t>
            </w:r>
            <w:proofErr w:type="gramEnd"/>
            <w:r>
              <w:rPr>
                <w:sz w:val="20"/>
                <w:szCs w:val="20"/>
                <w:lang w:eastAsia="zh-CN"/>
              </w:rPr>
              <w:t xml:space="preserve"> way.</w:t>
            </w:r>
          </w:p>
        </w:tc>
      </w:tr>
      <w:tr w:rsidR="000843A0" w14:paraId="4D69C8F8" w14:textId="77777777">
        <w:trPr>
          <w:trHeight w:val="398"/>
          <w:jc w:val="center"/>
        </w:trPr>
        <w:tc>
          <w:tcPr>
            <w:tcW w:w="2547" w:type="dxa"/>
            <w:shd w:val="clear" w:color="auto" w:fill="auto"/>
            <w:vAlign w:val="center"/>
          </w:tcPr>
          <w:p w14:paraId="5CB79916" w14:textId="37C29E0A" w:rsidR="000843A0" w:rsidRDefault="000843A0" w:rsidP="000843A0">
            <w:pPr>
              <w:snapToGrid w:val="0"/>
              <w:spacing w:after="0"/>
              <w:rPr>
                <w:rFonts w:eastAsiaTheme="minorEastAsia"/>
                <w:lang w:eastAsia="zh-CN"/>
              </w:rPr>
            </w:pPr>
            <w:r w:rsidRPr="72804E68">
              <w:rPr>
                <w:lang w:eastAsia="zh-CN"/>
              </w:rPr>
              <w:lastRenderedPageBreak/>
              <w:t>Nokia, NSB</w:t>
            </w:r>
          </w:p>
        </w:tc>
        <w:tc>
          <w:tcPr>
            <w:tcW w:w="8080" w:type="dxa"/>
            <w:vAlign w:val="center"/>
          </w:tcPr>
          <w:p w14:paraId="4035A998" w14:textId="02E0DD5A" w:rsidR="000843A0" w:rsidRDefault="000843A0" w:rsidP="000843A0">
            <w:pPr>
              <w:pStyle w:val="Eqn"/>
              <w:rPr>
                <w:sz w:val="20"/>
                <w:szCs w:val="20"/>
              </w:rPr>
            </w:pPr>
            <w:r w:rsidRPr="000843A0">
              <w:rPr>
                <w:b/>
                <w:bCs/>
                <w:sz w:val="20"/>
                <w:szCs w:val="20"/>
              </w:rPr>
              <w:t xml:space="preserve">We do not agree </w:t>
            </w:r>
            <w:proofErr w:type="gramStart"/>
            <w:r w:rsidRPr="000843A0">
              <w:rPr>
                <w:b/>
                <w:bCs/>
                <w:sz w:val="20"/>
                <w:szCs w:val="20"/>
              </w:rPr>
              <w:t>this</w:t>
            </w:r>
            <w:proofErr w:type="gramEnd"/>
            <w:r w:rsidRPr="000843A0">
              <w:rPr>
                <w:b/>
                <w:bCs/>
                <w:sz w:val="20"/>
                <w:szCs w:val="20"/>
              </w:rPr>
              <w:t xml:space="preserve"> or SIB accumulation is de-prioritized in Rel17 but SIB accumulation as legacy featured should be supported</w:t>
            </w:r>
            <w:r>
              <w:rPr>
                <w:sz w:val="20"/>
                <w:szCs w:val="20"/>
              </w:rPr>
              <w:t>.</w:t>
            </w:r>
            <w:r w:rsidRPr="72804E68">
              <w:rPr>
                <w:sz w:val="20"/>
                <w:szCs w:val="20"/>
              </w:rPr>
              <w:t xml:space="preserve"> In SI, there is already one assumption as “</w:t>
            </w:r>
            <w:r w:rsidRPr="72804E68">
              <w:rPr>
                <w:rFonts w:eastAsia="Times New Roman"/>
                <w:sz w:val="20"/>
                <w:szCs w:val="20"/>
                <w:lang w:val="en-GB"/>
              </w:rPr>
              <w:t>It is assumed that all</w:t>
            </w:r>
            <w:r w:rsidRPr="72804E68">
              <w:rPr>
                <w:rFonts w:eastAsia="Times New Roman"/>
                <w:sz w:val="20"/>
                <w:szCs w:val="20"/>
              </w:rPr>
              <w:t xml:space="preserve"> cellular IoT features specified up to Rel-16 are supported for IoT NTN.</w:t>
            </w:r>
            <w:r w:rsidRPr="72804E68">
              <w:rPr>
                <w:sz w:val="20"/>
                <w:szCs w:val="20"/>
              </w:rPr>
              <w:t>” as in 36.763.</w:t>
            </w:r>
          </w:p>
          <w:p w14:paraId="65B7FC64" w14:textId="77777777" w:rsidR="000843A0" w:rsidRDefault="000843A0" w:rsidP="000843A0">
            <w:pPr>
              <w:pStyle w:val="Eqn"/>
              <w:rPr>
                <w:sz w:val="20"/>
                <w:szCs w:val="20"/>
              </w:rPr>
            </w:pPr>
            <w:r w:rsidRPr="72804E68">
              <w:rPr>
                <w:sz w:val="20"/>
                <w:szCs w:val="20"/>
              </w:rPr>
              <w:t>SIB accumulation is important feature to guarantee coverage which should always be needed.</w:t>
            </w:r>
          </w:p>
          <w:p w14:paraId="5E5A6FCD" w14:textId="77777777" w:rsidR="000843A0" w:rsidRDefault="000843A0" w:rsidP="000843A0">
            <w:pPr>
              <w:pStyle w:val="Eqn"/>
              <w:rPr>
                <w:sz w:val="20"/>
                <w:szCs w:val="20"/>
              </w:rPr>
            </w:pPr>
            <w:r w:rsidRPr="72804E68">
              <w:rPr>
                <w:sz w:val="20"/>
                <w:szCs w:val="20"/>
              </w:rPr>
              <w:t xml:space="preserve">As we mentioned in first round, RAN2 has not exclude SIB accumulation but not discuss in detail </w:t>
            </w:r>
            <w:proofErr w:type="spellStart"/>
            <w:r w:rsidRPr="72804E68">
              <w:rPr>
                <w:sz w:val="20"/>
                <w:szCs w:val="20"/>
              </w:rPr>
              <w:t>considring</w:t>
            </w:r>
            <w:proofErr w:type="spellEnd"/>
            <w:r w:rsidRPr="72804E68">
              <w:rPr>
                <w:sz w:val="20"/>
                <w:szCs w:val="20"/>
              </w:rPr>
              <w:t xml:space="preserve"> IoT special requirement.</w:t>
            </w:r>
          </w:p>
          <w:p w14:paraId="0D1A84EA" w14:textId="67208AEC" w:rsidR="000843A0" w:rsidRPr="000843A0" w:rsidRDefault="000843A0" w:rsidP="000843A0">
            <w:pPr>
              <w:pStyle w:val="Eqn"/>
              <w:rPr>
                <w:b/>
                <w:bCs/>
                <w:sz w:val="20"/>
                <w:szCs w:val="20"/>
                <w:lang w:eastAsia="zh-CN"/>
              </w:rPr>
            </w:pPr>
            <w:r w:rsidRPr="000843A0">
              <w:rPr>
                <w:b/>
                <w:bCs/>
                <w:sz w:val="20"/>
                <w:szCs w:val="20"/>
              </w:rPr>
              <w:t xml:space="preserve">As there is already </w:t>
            </w:r>
            <w:proofErr w:type="spellStart"/>
            <w:r w:rsidRPr="000843A0">
              <w:rPr>
                <w:b/>
                <w:bCs/>
                <w:sz w:val="20"/>
                <w:szCs w:val="20"/>
              </w:rPr>
              <w:t>explicity</w:t>
            </w:r>
            <w:proofErr w:type="spellEnd"/>
            <w:r w:rsidRPr="000843A0">
              <w:rPr>
                <w:b/>
                <w:bCs/>
                <w:sz w:val="20"/>
                <w:szCs w:val="20"/>
              </w:rPr>
              <w:t xml:space="preserve"> signaling always can work, we propose </w:t>
            </w:r>
            <w:r>
              <w:rPr>
                <w:b/>
                <w:bCs/>
                <w:sz w:val="20"/>
                <w:szCs w:val="20"/>
              </w:rPr>
              <w:t xml:space="preserve">only define explicit </w:t>
            </w:r>
            <w:proofErr w:type="spellStart"/>
            <w:r>
              <w:rPr>
                <w:b/>
                <w:bCs/>
                <w:sz w:val="20"/>
                <w:szCs w:val="20"/>
              </w:rPr>
              <w:t>signaing</w:t>
            </w:r>
            <w:proofErr w:type="spellEnd"/>
            <w:r>
              <w:rPr>
                <w:b/>
                <w:bCs/>
                <w:sz w:val="20"/>
                <w:szCs w:val="20"/>
              </w:rPr>
              <w:t xml:space="preserve"> for epoch time but </w:t>
            </w:r>
            <w:r w:rsidRPr="000843A0">
              <w:rPr>
                <w:b/>
                <w:bCs/>
                <w:sz w:val="20"/>
                <w:szCs w:val="20"/>
              </w:rPr>
              <w:t>not define implicit signaling in Rel17</w:t>
            </w:r>
            <w:r>
              <w:rPr>
                <w:b/>
                <w:bCs/>
                <w:sz w:val="20"/>
                <w:szCs w:val="20"/>
              </w:rPr>
              <w:t xml:space="preserve"> IoT NTN</w:t>
            </w:r>
            <w:r w:rsidRPr="000843A0">
              <w:rPr>
                <w:b/>
                <w:bCs/>
                <w:sz w:val="20"/>
                <w:szCs w:val="20"/>
              </w:rPr>
              <w:t>.</w:t>
            </w:r>
          </w:p>
        </w:tc>
      </w:tr>
      <w:tr w:rsidR="000843A0" w14:paraId="7C99C4FB" w14:textId="77777777">
        <w:trPr>
          <w:trHeight w:val="398"/>
          <w:jc w:val="center"/>
        </w:trPr>
        <w:tc>
          <w:tcPr>
            <w:tcW w:w="2547" w:type="dxa"/>
            <w:shd w:val="clear" w:color="auto" w:fill="auto"/>
            <w:vAlign w:val="center"/>
          </w:tcPr>
          <w:p w14:paraId="6E4FA244" w14:textId="7ACB5885" w:rsidR="000843A0" w:rsidRDefault="00966F5F" w:rsidP="000843A0">
            <w:pPr>
              <w:snapToGrid w:val="0"/>
              <w:spacing w:after="0"/>
              <w:rPr>
                <w:lang w:val="en-US" w:eastAsia="zh-CN"/>
              </w:rPr>
            </w:pPr>
            <w:r>
              <w:rPr>
                <w:lang w:val="en-US" w:eastAsia="zh-CN"/>
              </w:rPr>
              <w:t>SONY</w:t>
            </w:r>
          </w:p>
        </w:tc>
        <w:tc>
          <w:tcPr>
            <w:tcW w:w="8080" w:type="dxa"/>
            <w:vAlign w:val="center"/>
          </w:tcPr>
          <w:p w14:paraId="76A17973" w14:textId="33F396E7" w:rsidR="000843A0" w:rsidRDefault="002A19BE" w:rsidP="000843A0">
            <w:pPr>
              <w:pStyle w:val="Eqn"/>
              <w:rPr>
                <w:color w:val="365F91" w:themeColor="accent1" w:themeShade="BF"/>
              </w:rPr>
            </w:pPr>
            <w:r w:rsidRPr="00C12C3D">
              <w:rPr>
                <w:color w:val="C00000"/>
                <w:lang w:eastAsia="zh-CN"/>
              </w:rPr>
              <w:t xml:space="preserve">We strongly disagree with the moderators’ observation that </w:t>
            </w:r>
            <w:r w:rsidRPr="00C12C3D">
              <w:rPr>
                <w:color w:val="595959" w:themeColor="text1" w:themeTint="A6"/>
                <w:lang w:eastAsia="zh-CN"/>
              </w:rPr>
              <w:t>“</w:t>
            </w:r>
            <w:r w:rsidRPr="00C12C3D">
              <w:rPr>
                <w:color w:val="595959" w:themeColor="text1" w:themeTint="A6"/>
              </w:rPr>
              <w:t>SIB accumulation across SI windows is new functionality”</w:t>
            </w:r>
            <w:r w:rsidRPr="00744CB4">
              <w:rPr>
                <w:color w:val="365F91" w:themeColor="accent1" w:themeShade="BF"/>
              </w:rPr>
              <w:t xml:space="preserve"> </w:t>
            </w:r>
            <w:r w:rsidRPr="00C12C3D">
              <w:rPr>
                <w:color w:val="C00000"/>
              </w:rPr>
              <w:t xml:space="preserve">as legacy terrestrial </w:t>
            </w:r>
            <w:proofErr w:type="spellStart"/>
            <w:r w:rsidRPr="00C12C3D">
              <w:rPr>
                <w:color w:val="C00000"/>
              </w:rPr>
              <w:t>eMTC</w:t>
            </w:r>
            <w:proofErr w:type="spellEnd"/>
            <w:r w:rsidRPr="00C12C3D">
              <w:rPr>
                <w:color w:val="C00000"/>
              </w:rPr>
              <w:t xml:space="preserve"> and NB-IoT have had this functionality </w:t>
            </w:r>
            <w:r>
              <w:rPr>
                <w:color w:val="C00000"/>
              </w:rPr>
              <w:t>for</w:t>
            </w:r>
            <w:r w:rsidRPr="00C12C3D">
              <w:rPr>
                <w:color w:val="C00000"/>
              </w:rPr>
              <w:t xml:space="preserve"> many releases</w:t>
            </w:r>
            <w:r w:rsidRPr="00744CB4">
              <w:rPr>
                <w:color w:val="365F91" w:themeColor="accent1" w:themeShade="BF"/>
              </w:rPr>
              <w:t>.</w:t>
            </w:r>
            <w:r>
              <w:rPr>
                <w:color w:val="365F91" w:themeColor="accent1" w:themeShade="BF"/>
              </w:rPr>
              <w:t xml:space="preserve"> </w:t>
            </w:r>
            <w:r w:rsidRPr="002A19BE">
              <w:t>[same view as Ericsson]</w:t>
            </w:r>
          </w:p>
          <w:p w14:paraId="3EB3819C" w14:textId="40708C21" w:rsidR="002A19BE" w:rsidRDefault="002A19BE" w:rsidP="000843A0">
            <w:pPr>
              <w:pStyle w:val="Eqn"/>
              <w:rPr>
                <w:sz w:val="20"/>
                <w:szCs w:val="20"/>
                <w:lang w:eastAsia="zh-CN"/>
              </w:rPr>
            </w:pPr>
            <w:r>
              <w:rPr>
                <w:sz w:val="20"/>
                <w:szCs w:val="20"/>
                <w:lang w:eastAsia="zh-CN"/>
              </w:rPr>
              <w:t>Whether or not RAN2 have spe</w:t>
            </w:r>
            <w:r w:rsidR="009274E5">
              <w:rPr>
                <w:sz w:val="20"/>
                <w:szCs w:val="20"/>
                <w:lang w:eastAsia="zh-CN"/>
              </w:rPr>
              <w:t xml:space="preserve">cified that SIB accumulation is not supported for implicit epoch time, we still have the case of explicit epoch time. </w:t>
            </w:r>
            <w:r w:rsidR="00845466">
              <w:rPr>
                <w:sz w:val="20"/>
                <w:szCs w:val="20"/>
                <w:lang w:eastAsia="zh-CN"/>
              </w:rPr>
              <w:t xml:space="preserve">We would assume that if an </w:t>
            </w:r>
            <w:proofErr w:type="spellStart"/>
            <w:r w:rsidR="00845466">
              <w:rPr>
                <w:sz w:val="20"/>
                <w:szCs w:val="20"/>
                <w:lang w:eastAsia="zh-CN"/>
              </w:rPr>
              <w:t>eNB</w:t>
            </w:r>
            <w:proofErr w:type="spellEnd"/>
            <w:r w:rsidR="00845466">
              <w:rPr>
                <w:sz w:val="20"/>
                <w:szCs w:val="20"/>
                <w:lang w:eastAsia="zh-CN"/>
              </w:rPr>
              <w:t xml:space="preserve"> was concerned with SIB coverage due to an inability to accumulate SIB for implicit epoch time </w:t>
            </w:r>
            <w:proofErr w:type="spellStart"/>
            <w:r w:rsidR="00307543">
              <w:rPr>
                <w:sz w:val="20"/>
                <w:szCs w:val="20"/>
                <w:lang w:eastAsia="zh-CN"/>
              </w:rPr>
              <w:t>signalling</w:t>
            </w:r>
            <w:proofErr w:type="spellEnd"/>
            <w:r w:rsidR="00307543">
              <w:rPr>
                <w:sz w:val="20"/>
                <w:szCs w:val="20"/>
                <w:lang w:eastAsia="zh-CN"/>
              </w:rPr>
              <w:t xml:space="preserve">, it would signal the epoch time explicitly. </w:t>
            </w:r>
          </w:p>
          <w:p w14:paraId="2527A2B5" w14:textId="6CF9B71B" w:rsidR="0038470F" w:rsidRDefault="00307543" w:rsidP="000843A0">
            <w:pPr>
              <w:pStyle w:val="Eqn"/>
              <w:rPr>
                <w:sz w:val="20"/>
                <w:szCs w:val="20"/>
                <w:lang w:eastAsia="zh-CN"/>
              </w:rPr>
            </w:pPr>
            <w:r>
              <w:rPr>
                <w:sz w:val="20"/>
                <w:szCs w:val="20"/>
                <w:lang w:eastAsia="zh-CN"/>
              </w:rPr>
              <w:t>We really need to get this issue sorted out at this meeting</w:t>
            </w:r>
            <w:r w:rsidR="005F544F">
              <w:rPr>
                <w:sz w:val="20"/>
                <w:szCs w:val="20"/>
                <w:lang w:eastAsia="zh-CN"/>
              </w:rPr>
              <w:t xml:space="preserve">. SIB accumulation has been supported for many releases. </w:t>
            </w:r>
            <w:r w:rsidR="00145337">
              <w:rPr>
                <w:sz w:val="20"/>
                <w:szCs w:val="20"/>
                <w:lang w:eastAsia="zh-CN"/>
              </w:rPr>
              <w:t xml:space="preserve">The IoT-NTN SI assumed that all cellular features specified up to Rel-16 are </w:t>
            </w:r>
            <w:r w:rsidR="0038470F">
              <w:rPr>
                <w:sz w:val="20"/>
                <w:szCs w:val="20"/>
                <w:lang w:eastAsia="zh-CN"/>
              </w:rPr>
              <w:t>supported for IoT-NTN, hence SIB accumulation needs to be supported in Rel-17 IoT-NTN.</w:t>
            </w:r>
            <w:r w:rsidR="00304AF0">
              <w:rPr>
                <w:sz w:val="20"/>
                <w:szCs w:val="20"/>
                <w:lang w:eastAsia="zh-CN"/>
              </w:rPr>
              <w:t xml:space="preserve"> There was no consensus to remove the SIB accumulation</w:t>
            </w:r>
            <w:r w:rsidR="00844412">
              <w:rPr>
                <w:sz w:val="20"/>
                <w:szCs w:val="20"/>
                <w:lang w:eastAsia="zh-CN"/>
              </w:rPr>
              <w:t xml:space="preserve"> feature</w:t>
            </w:r>
            <w:r w:rsidR="00304AF0">
              <w:rPr>
                <w:sz w:val="20"/>
                <w:szCs w:val="20"/>
                <w:lang w:eastAsia="zh-CN"/>
              </w:rPr>
              <w:t xml:space="preserve"> </w:t>
            </w:r>
            <w:r w:rsidR="00844412">
              <w:rPr>
                <w:sz w:val="20"/>
                <w:szCs w:val="20"/>
                <w:lang w:eastAsia="zh-CN"/>
              </w:rPr>
              <w:t>in Rel-17 IoT-NTN.</w:t>
            </w:r>
          </w:p>
        </w:tc>
      </w:tr>
      <w:tr w:rsidR="000843A0" w14:paraId="5BB62E00" w14:textId="77777777">
        <w:trPr>
          <w:trHeight w:val="398"/>
          <w:jc w:val="center"/>
        </w:trPr>
        <w:tc>
          <w:tcPr>
            <w:tcW w:w="2547" w:type="dxa"/>
            <w:shd w:val="clear" w:color="auto" w:fill="auto"/>
            <w:vAlign w:val="center"/>
          </w:tcPr>
          <w:p w14:paraId="3226C6BF" w14:textId="5ACFD499" w:rsidR="000843A0" w:rsidRDefault="000843A0" w:rsidP="000843A0">
            <w:pPr>
              <w:snapToGrid w:val="0"/>
              <w:spacing w:after="0"/>
              <w:rPr>
                <w:lang w:eastAsia="zh-CN"/>
              </w:rPr>
            </w:pPr>
          </w:p>
        </w:tc>
        <w:tc>
          <w:tcPr>
            <w:tcW w:w="8080" w:type="dxa"/>
            <w:vAlign w:val="center"/>
          </w:tcPr>
          <w:p w14:paraId="14A36714" w14:textId="07FE12F0" w:rsidR="000843A0" w:rsidRDefault="000843A0" w:rsidP="000843A0">
            <w:pPr>
              <w:pStyle w:val="Eqn"/>
              <w:rPr>
                <w:sz w:val="20"/>
                <w:szCs w:val="20"/>
              </w:rPr>
            </w:pPr>
          </w:p>
        </w:tc>
      </w:tr>
      <w:tr w:rsidR="000843A0" w14:paraId="1F423C77" w14:textId="77777777">
        <w:trPr>
          <w:trHeight w:val="398"/>
          <w:jc w:val="center"/>
        </w:trPr>
        <w:tc>
          <w:tcPr>
            <w:tcW w:w="2547" w:type="dxa"/>
            <w:shd w:val="clear" w:color="auto" w:fill="auto"/>
            <w:vAlign w:val="center"/>
          </w:tcPr>
          <w:p w14:paraId="770F97A1" w14:textId="30B95B77" w:rsidR="000843A0" w:rsidRDefault="000843A0" w:rsidP="000843A0">
            <w:pPr>
              <w:snapToGrid w:val="0"/>
              <w:spacing w:after="0"/>
              <w:rPr>
                <w:lang w:eastAsia="zh-CN"/>
              </w:rPr>
            </w:pPr>
          </w:p>
        </w:tc>
        <w:tc>
          <w:tcPr>
            <w:tcW w:w="8080" w:type="dxa"/>
            <w:vAlign w:val="center"/>
          </w:tcPr>
          <w:p w14:paraId="2C38EF54" w14:textId="721BD4A3" w:rsidR="000843A0" w:rsidRDefault="000843A0" w:rsidP="000843A0">
            <w:pPr>
              <w:pStyle w:val="Eqn"/>
              <w:rPr>
                <w:sz w:val="20"/>
                <w:szCs w:val="20"/>
              </w:rPr>
            </w:pPr>
          </w:p>
        </w:tc>
      </w:tr>
      <w:tr w:rsidR="000843A0" w14:paraId="4FABD1B9" w14:textId="77777777">
        <w:trPr>
          <w:trHeight w:val="398"/>
          <w:jc w:val="center"/>
        </w:trPr>
        <w:tc>
          <w:tcPr>
            <w:tcW w:w="2547" w:type="dxa"/>
            <w:shd w:val="clear" w:color="auto" w:fill="auto"/>
            <w:vAlign w:val="center"/>
          </w:tcPr>
          <w:p w14:paraId="4B1657A1" w14:textId="77777777" w:rsidR="000843A0" w:rsidRDefault="000843A0" w:rsidP="000843A0">
            <w:pPr>
              <w:snapToGrid w:val="0"/>
              <w:spacing w:after="0"/>
              <w:rPr>
                <w:lang w:eastAsia="zh-CN"/>
              </w:rPr>
            </w:pPr>
          </w:p>
        </w:tc>
        <w:tc>
          <w:tcPr>
            <w:tcW w:w="8080" w:type="dxa"/>
            <w:vAlign w:val="center"/>
          </w:tcPr>
          <w:p w14:paraId="332C9062" w14:textId="77777777" w:rsidR="000843A0" w:rsidRDefault="000843A0" w:rsidP="000843A0">
            <w:pPr>
              <w:pStyle w:val="Eqn"/>
              <w:rPr>
                <w:sz w:val="20"/>
                <w:szCs w:val="20"/>
              </w:rPr>
            </w:pPr>
          </w:p>
        </w:tc>
      </w:tr>
      <w:tr w:rsidR="000843A0" w14:paraId="56D77DEC" w14:textId="77777777">
        <w:trPr>
          <w:trHeight w:val="398"/>
          <w:jc w:val="center"/>
        </w:trPr>
        <w:tc>
          <w:tcPr>
            <w:tcW w:w="2547" w:type="dxa"/>
            <w:shd w:val="clear" w:color="auto" w:fill="auto"/>
            <w:vAlign w:val="center"/>
          </w:tcPr>
          <w:p w14:paraId="0D99830C" w14:textId="77777777" w:rsidR="000843A0" w:rsidRDefault="000843A0" w:rsidP="000843A0">
            <w:pPr>
              <w:snapToGrid w:val="0"/>
              <w:spacing w:after="0"/>
              <w:rPr>
                <w:lang w:eastAsia="zh-CN"/>
              </w:rPr>
            </w:pPr>
          </w:p>
        </w:tc>
        <w:tc>
          <w:tcPr>
            <w:tcW w:w="8080" w:type="dxa"/>
            <w:vAlign w:val="center"/>
          </w:tcPr>
          <w:p w14:paraId="554518DB" w14:textId="77777777" w:rsidR="000843A0" w:rsidRDefault="000843A0" w:rsidP="000843A0">
            <w:pPr>
              <w:pStyle w:val="Eqn"/>
              <w:rPr>
                <w:sz w:val="20"/>
                <w:szCs w:val="20"/>
              </w:rPr>
            </w:pPr>
          </w:p>
        </w:tc>
      </w:tr>
      <w:tr w:rsidR="000843A0" w14:paraId="12A2C460" w14:textId="77777777">
        <w:trPr>
          <w:trHeight w:val="398"/>
          <w:jc w:val="center"/>
        </w:trPr>
        <w:tc>
          <w:tcPr>
            <w:tcW w:w="2547" w:type="dxa"/>
            <w:shd w:val="clear" w:color="auto" w:fill="auto"/>
            <w:vAlign w:val="center"/>
          </w:tcPr>
          <w:p w14:paraId="2406A3F2" w14:textId="77777777" w:rsidR="000843A0" w:rsidRDefault="000843A0" w:rsidP="000843A0">
            <w:pPr>
              <w:snapToGrid w:val="0"/>
              <w:spacing w:after="0"/>
              <w:rPr>
                <w:lang w:eastAsia="zh-CN"/>
              </w:rPr>
            </w:pPr>
          </w:p>
        </w:tc>
        <w:tc>
          <w:tcPr>
            <w:tcW w:w="8080" w:type="dxa"/>
            <w:vAlign w:val="center"/>
          </w:tcPr>
          <w:p w14:paraId="2DCC5342" w14:textId="77777777" w:rsidR="000843A0" w:rsidRDefault="000843A0" w:rsidP="000843A0">
            <w:pPr>
              <w:pStyle w:val="Eqn"/>
              <w:rPr>
                <w:sz w:val="20"/>
                <w:szCs w:val="20"/>
              </w:rPr>
            </w:pPr>
          </w:p>
        </w:tc>
      </w:tr>
      <w:tr w:rsidR="000843A0" w14:paraId="464E53E2" w14:textId="77777777">
        <w:trPr>
          <w:trHeight w:val="398"/>
          <w:jc w:val="center"/>
        </w:trPr>
        <w:tc>
          <w:tcPr>
            <w:tcW w:w="2547" w:type="dxa"/>
            <w:shd w:val="clear" w:color="auto" w:fill="auto"/>
            <w:vAlign w:val="center"/>
          </w:tcPr>
          <w:p w14:paraId="09544F99" w14:textId="77777777" w:rsidR="000843A0" w:rsidRDefault="000843A0" w:rsidP="000843A0">
            <w:pPr>
              <w:snapToGrid w:val="0"/>
              <w:spacing w:after="0"/>
              <w:rPr>
                <w:lang w:eastAsia="zh-CN"/>
              </w:rPr>
            </w:pPr>
          </w:p>
        </w:tc>
        <w:tc>
          <w:tcPr>
            <w:tcW w:w="8080" w:type="dxa"/>
            <w:vAlign w:val="center"/>
          </w:tcPr>
          <w:p w14:paraId="027E6752" w14:textId="77777777" w:rsidR="000843A0" w:rsidRDefault="000843A0" w:rsidP="000843A0">
            <w:pPr>
              <w:pStyle w:val="Eqn"/>
              <w:rPr>
                <w:sz w:val="20"/>
                <w:szCs w:val="20"/>
              </w:rPr>
            </w:pPr>
          </w:p>
        </w:tc>
      </w:tr>
      <w:tr w:rsidR="000843A0" w14:paraId="1993A613" w14:textId="77777777">
        <w:trPr>
          <w:trHeight w:val="398"/>
          <w:jc w:val="center"/>
        </w:trPr>
        <w:tc>
          <w:tcPr>
            <w:tcW w:w="2547" w:type="dxa"/>
            <w:shd w:val="clear" w:color="auto" w:fill="auto"/>
            <w:vAlign w:val="center"/>
          </w:tcPr>
          <w:p w14:paraId="45F4ED8E" w14:textId="77777777" w:rsidR="000843A0" w:rsidRDefault="000843A0" w:rsidP="000843A0">
            <w:pPr>
              <w:snapToGrid w:val="0"/>
              <w:spacing w:after="0"/>
              <w:rPr>
                <w:lang w:eastAsia="zh-CN"/>
              </w:rPr>
            </w:pPr>
          </w:p>
        </w:tc>
        <w:tc>
          <w:tcPr>
            <w:tcW w:w="8080" w:type="dxa"/>
            <w:vAlign w:val="center"/>
          </w:tcPr>
          <w:p w14:paraId="604A3301" w14:textId="77777777" w:rsidR="000843A0" w:rsidRDefault="000843A0" w:rsidP="000843A0">
            <w:pPr>
              <w:pStyle w:val="Eqn"/>
              <w:rPr>
                <w:sz w:val="20"/>
                <w:szCs w:val="20"/>
              </w:rPr>
            </w:pPr>
          </w:p>
        </w:tc>
      </w:tr>
      <w:tr w:rsidR="000843A0" w14:paraId="465C9328" w14:textId="77777777">
        <w:trPr>
          <w:trHeight w:val="398"/>
          <w:jc w:val="center"/>
        </w:trPr>
        <w:tc>
          <w:tcPr>
            <w:tcW w:w="2547" w:type="dxa"/>
            <w:shd w:val="clear" w:color="auto" w:fill="auto"/>
            <w:vAlign w:val="center"/>
          </w:tcPr>
          <w:p w14:paraId="5056F248" w14:textId="77777777" w:rsidR="000843A0" w:rsidRDefault="000843A0" w:rsidP="000843A0">
            <w:pPr>
              <w:snapToGrid w:val="0"/>
              <w:spacing w:after="0"/>
              <w:rPr>
                <w:lang w:eastAsia="zh-CN"/>
              </w:rPr>
            </w:pPr>
          </w:p>
        </w:tc>
        <w:tc>
          <w:tcPr>
            <w:tcW w:w="8080" w:type="dxa"/>
            <w:vAlign w:val="center"/>
          </w:tcPr>
          <w:p w14:paraId="329983A8" w14:textId="77777777" w:rsidR="000843A0" w:rsidRDefault="000843A0" w:rsidP="000843A0">
            <w:pPr>
              <w:pStyle w:val="Eqn"/>
              <w:rPr>
                <w:sz w:val="20"/>
                <w:szCs w:val="20"/>
              </w:rPr>
            </w:pPr>
          </w:p>
        </w:tc>
      </w:tr>
      <w:tr w:rsidR="000843A0" w14:paraId="4C7EBBF6" w14:textId="77777777">
        <w:trPr>
          <w:trHeight w:val="398"/>
          <w:jc w:val="center"/>
        </w:trPr>
        <w:tc>
          <w:tcPr>
            <w:tcW w:w="2547" w:type="dxa"/>
            <w:shd w:val="clear" w:color="auto" w:fill="auto"/>
            <w:vAlign w:val="center"/>
          </w:tcPr>
          <w:p w14:paraId="6886382D" w14:textId="77777777" w:rsidR="000843A0" w:rsidRDefault="000843A0" w:rsidP="000843A0">
            <w:pPr>
              <w:snapToGrid w:val="0"/>
              <w:spacing w:after="0"/>
              <w:rPr>
                <w:lang w:eastAsia="zh-CN"/>
              </w:rPr>
            </w:pPr>
          </w:p>
        </w:tc>
        <w:tc>
          <w:tcPr>
            <w:tcW w:w="8080" w:type="dxa"/>
            <w:vAlign w:val="center"/>
          </w:tcPr>
          <w:p w14:paraId="0025FD9A" w14:textId="77777777" w:rsidR="000843A0" w:rsidRDefault="000843A0" w:rsidP="000843A0">
            <w:pPr>
              <w:pStyle w:val="Eqn"/>
              <w:rPr>
                <w:sz w:val="20"/>
                <w:szCs w:val="20"/>
              </w:rPr>
            </w:pPr>
          </w:p>
        </w:tc>
      </w:tr>
      <w:tr w:rsidR="000843A0" w14:paraId="458F341B" w14:textId="77777777">
        <w:trPr>
          <w:trHeight w:val="398"/>
          <w:jc w:val="center"/>
        </w:trPr>
        <w:tc>
          <w:tcPr>
            <w:tcW w:w="2547" w:type="dxa"/>
            <w:shd w:val="clear" w:color="auto" w:fill="auto"/>
            <w:vAlign w:val="center"/>
          </w:tcPr>
          <w:p w14:paraId="34FD9CFE" w14:textId="77777777" w:rsidR="000843A0" w:rsidRDefault="000843A0" w:rsidP="000843A0">
            <w:pPr>
              <w:snapToGrid w:val="0"/>
              <w:spacing w:after="0"/>
              <w:rPr>
                <w:lang w:eastAsia="zh-CN"/>
              </w:rPr>
            </w:pPr>
          </w:p>
        </w:tc>
        <w:tc>
          <w:tcPr>
            <w:tcW w:w="8080" w:type="dxa"/>
            <w:vAlign w:val="center"/>
          </w:tcPr>
          <w:p w14:paraId="007C8F39" w14:textId="77777777" w:rsidR="000843A0" w:rsidRDefault="000843A0" w:rsidP="000843A0">
            <w:pPr>
              <w:pStyle w:val="Eqn"/>
              <w:rPr>
                <w:sz w:val="20"/>
                <w:szCs w:val="20"/>
              </w:rPr>
            </w:pPr>
          </w:p>
        </w:tc>
      </w:tr>
      <w:tr w:rsidR="000843A0" w14:paraId="507AEDA3" w14:textId="77777777">
        <w:trPr>
          <w:trHeight w:val="398"/>
          <w:jc w:val="center"/>
        </w:trPr>
        <w:tc>
          <w:tcPr>
            <w:tcW w:w="2547" w:type="dxa"/>
            <w:shd w:val="clear" w:color="auto" w:fill="auto"/>
            <w:vAlign w:val="center"/>
          </w:tcPr>
          <w:p w14:paraId="21CEC4B5" w14:textId="77777777" w:rsidR="000843A0" w:rsidRDefault="000843A0" w:rsidP="000843A0">
            <w:pPr>
              <w:snapToGrid w:val="0"/>
              <w:spacing w:after="0"/>
              <w:rPr>
                <w:lang w:eastAsia="zh-CN"/>
              </w:rPr>
            </w:pPr>
          </w:p>
        </w:tc>
        <w:tc>
          <w:tcPr>
            <w:tcW w:w="8080" w:type="dxa"/>
            <w:vAlign w:val="center"/>
          </w:tcPr>
          <w:p w14:paraId="145D0AFB" w14:textId="77777777" w:rsidR="000843A0" w:rsidRDefault="000843A0" w:rsidP="000843A0">
            <w:pPr>
              <w:pStyle w:val="Eqn"/>
              <w:rPr>
                <w:sz w:val="20"/>
                <w:szCs w:val="20"/>
              </w:rPr>
            </w:pPr>
          </w:p>
        </w:tc>
      </w:tr>
      <w:tr w:rsidR="000843A0" w14:paraId="067A0352" w14:textId="77777777">
        <w:trPr>
          <w:trHeight w:val="398"/>
          <w:jc w:val="center"/>
        </w:trPr>
        <w:tc>
          <w:tcPr>
            <w:tcW w:w="2547" w:type="dxa"/>
            <w:shd w:val="clear" w:color="auto" w:fill="auto"/>
            <w:vAlign w:val="center"/>
          </w:tcPr>
          <w:p w14:paraId="16FB77BC" w14:textId="77777777" w:rsidR="000843A0" w:rsidRDefault="000843A0" w:rsidP="000843A0">
            <w:pPr>
              <w:snapToGrid w:val="0"/>
              <w:spacing w:after="0"/>
              <w:rPr>
                <w:lang w:eastAsia="zh-CN"/>
              </w:rPr>
            </w:pPr>
          </w:p>
        </w:tc>
        <w:tc>
          <w:tcPr>
            <w:tcW w:w="8080" w:type="dxa"/>
            <w:vAlign w:val="center"/>
          </w:tcPr>
          <w:p w14:paraId="482D21E4" w14:textId="77777777" w:rsidR="000843A0" w:rsidRDefault="000843A0" w:rsidP="000843A0">
            <w:pPr>
              <w:pStyle w:val="Eqn"/>
              <w:rPr>
                <w:sz w:val="20"/>
                <w:szCs w:val="20"/>
              </w:rPr>
            </w:pPr>
          </w:p>
        </w:tc>
      </w:tr>
      <w:tr w:rsidR="000843A0" w14:paraId="745CC066" w14:textId="77777777">
        <w:trPr>
          <w:trHeight w:val="398"/>
          <w:jc w:val="center"/>
        </w:trPr>
        <w:tc>
          <w:tcPr>
            <w:tcW w:w="2547" w:type="dxa"/>
            <w:shd w:val="clear" w:color="auto" w:fill="auto"/>
            <w:vAlign w:val="center"/>
          </w:tcPr>
          <w:p w14:paraId="11DE0BF3" w14:textId="77777777" w:rsidR="000843A0" w:rsidRDefault="000843A0" w:rsidP="000843A0">
            <w:pPr>
              <w:snapToGrid w:val="0"/>
              <w:spacing w:after="0"/>
              <w:rPr>
                <w:lang w:eastAsia="zh-CN"/>
              </w:rPr>
            </w:pPr>
          </w:p>
        </w:tc>
        <w:tc>
          <w:tcPr>
            <w:tcW w:w="8080" w:type="dxa"/>
            <w:vAlign w:val="center"/>
          </w:tcPr>
          <w:p w14:paraId="0E7D34BC" w14:textId="77777777" w:rsidR="000843A0" w:rsidRDefault="000843A0" w:rsidP="000843A0">
            <w:pPr>
              <w:pStyle w:val="Eqn"/>
              <w:rPr>
                <w:sz w:val="20"/>
                <w:szCs w:val="20"/>
              </w:rPr>
            </w:pPr>
          </w:p>
        </w:tc>
      </w:tr>
      <w:tr w:rsidR="000843A0" w14:paraId="24BA8537" w14:textId="77777777">
        <w:trPr>
          <w:trHeight w:val="398"/>
          <w:jc w:val="center"/>
        </w:trPr>
        <w:tc>
          <w:tcPr>
            <w:tcW w:w="2547" w:type="dxa"/>
            <w:shd w:val="clear" w:color="auto" w:fill="auto"/>
            <w:vAlign w:val="center"/>
          </w:tcPr>
          <w:p w14:paraId="254DFA6C" w14:textId="77777777" w:rsidR="000843A0" w:rsidRDefault="000843A0" w:rsidP="000843A0">
            <w:pPr>
              <w:snapToGrid w:val="0"/>
              <w:spacing w:after="0"/>
              <w:rPr>
                <w:lang w:eastAsia="zh-CN"/>
              </w:rPr>
            </w:pPr>
          </w:p>
        </w:tc>
        <w:tc>
          <w:tcPr>
            <w:tcW w:w="8080" w:type="dxa"/>
            <w:vAlign w:val="center"/>
          </w:tcPr>
          <w:p w14:paraId="3B8CD455" w14:textId="77777777" w:rsidR="000843A0" w:rsidRDefault="000843A0" w:rsidP="000843A0">
            <w:pPr>
              <w:pStyle w:val="Eqn"/>
              <w:rPr>
                <w:sz w:val="20"/>
                <w:szCs w:val="20"/>
              </w:rPr>
            </w:pPr>
          </w:p>
        </w:tc>
      </w:tr>
      <w:tr w:rsidR="000843A0" w14:paraId="49CC1700" w14:textId="77777777">
        <w:trPr>
          <w:trHeight w:val="398"/>
          <w:jc w:val="center"/>
        </w:trPr>
        <w:tc>
          <w:tcPr>
            <w:tcW w:w="2547" w:type="dxa"/>
            <w:shd w:val="clear" w:color="auto" w:fill="auto"/>
            <w:vAlign w:val="center"/>
          </w:tcPr>
          <w:p w14:paraId="22955BA2" w14:textId="77777777" w:rsidR="000843A0" w:rsidRDefault="000843A0" w:rsidP="000843A0">
            <w:pPr>
              <w:snapToGrid w:val="0"/>
              <w:spacing w:after="0"/>
              <w:rPr>
                <w:lang w:eastAsia="zh-CN"/>
              </w:rPr>
            </w:pPr>
          </w:p>
        </w:tc>
        <w:tc>
          <w:tcPr>
            <w:tcW w:w="8080" w:type="dxa"/>
            <w:vAlign w:val="center"/>
          </w:tcPr>
          <w:p w14:paraId="56E928B9" w14:textId="77777777" w:rsidR="000843A0" w:rsidRDefault="000843A0" w:rsidP="000843A0">
            <w:pPr>
              <w:pStyle w:val="Eqn"/>
              <w:rPr>
                <w:sz w:val="20"/>
                <w:szCs w:val="20"/>
              </w:rPr>
            </w:pPr>
          </w:p>
        </w:tc>
      </w:tr>
      <w:tr w:rsidR="000843A0" w14:paraId="651637E2" w14:textId="77777777">
        <w:trPr>
          <w:trHeight w:val="398"/>
          <w:jc w:val="center"/>
        </w:trPr>
        <w:tc>
          <w:tcPr>
            <w:tcW w:w="2547" w:type="dxa"/>
            <w:shd w:val="clear" w:color="auto" w:fill="auto"/>
            <w:vAlign w:val="center"/>
          </w:tcPr>
          <w:p w14:paraId="359B3404" w14:textId="77777777" w:rsidR="000843A0" w:rsidRDefault="000843A0" w:rsidP="000843A0">
            <w:pPr>
              <w:snapToGrid w:val="0"/>
              <w:spacing w:after="0"/>
              <w:rPr>
                <w:lang w:eastAsia="zh-CN"/>
              </w:rPr>
            </w:pPr>
          </w:p>
        </w:tc>
        <w:tc>
          <w:tcPr>
            <w:tcW w:w="8080" w:type="dxa"/>
            <w:vAlign w:val="center"/>
          </w:tcPr>
          <w:p w14:paraId="1E274F34" w14:textId="77777777" w:rsidR="000843A0" w:rsidRDefault="000843A0" w:rsidP="000843A0">
            <w:pPr>
              <w:pStyle w:val="Eqn"/>
              <w:rPr>
                <w:sz w:val="20"/>
                <w:szCs w:val="20"/>
              </w:rPr>
            </w:pPr>
          </w:p>
        </w:tc>
      </w:tr>
    </w:tbl>
    <w:p w14:paraId="206AC992" w14:textId="0DFF511E" w:rsidR="00A16361" w:rsidRDefault="00A16361">
      <w:pPr>
        <w:pStyle w:val="BodyText"/>
      </w:pPr>
    </w:p>
    <w:p w14:paraId="16D79842" w14:textId="77777777" w:rsidR="00882802" w:rsidRDefault="00882802">
      <w:pPr>
        <w:pStyle w:val="BodyText"/>
      </w:pPr>
    </w:p>
    <w:bookmarkEnd w:id="2"/>
    <w:p w14:paraId="01F61047" w14:textId="3F49E20A" w:rsidR="00882802" w:rsidRPr="00882802" w:rsidRDefault="00882802" w:rsidP="00882802">
      <w:pPr>
        <w:pStyle w:val="Heading1"/>
        <w:rPr>
          <w:lang w:val="en-US" w:eastAsia="ja-JP"/>
        </w:rPr>
      </w:pPr>
      <w:r w:rsidRPr="00882802">
        <w:rPr>
          <w:lang w:val="en-US" w:eastAsia="ja-JP"/>
        </w:rPr>
        <w:lastRenderedPageBreak/>
        <w:t>Processing time for downlink reception</w:t>
      </w:r>
    </w:p>
    <w:p w14:paraId="3671EA2D" w14:textId="4B317E17" w:rsidR="005A3D8F" w:rsidRDefault="005A3D8F" w:rsidP="005A3D8F">
      <w:pPr>
        <w:pStyle w:val="Heading2"/>
        <w:rPr>
          <w:lang w:eastAsia="zh-CN"/>
        </w:rPr>
      </w:pPr>
      <w:r w:rsidRPr="005A3D8F">
        <w:rPr>
          <w:lang w:eastAsia="zh-CN"/>
        </w:rPr>
        <w:t>Company views</w:t>
      </w:r>
    </w:p>
    <w:p w14:paraId="02C71178" w14:textId="2AD487FE" w:rsidR="00882802" w:rsidRDefault="00882802" w:rsidP="00882802">
      <w:pPr>
        <w:rPr>
          <w:lang w:eastAsia="zh-CN"/>
        </w:rPr>
      </w:pPr>
      <w:r>
        <w:rPr>
          <w:lang w:eastAsia="zh-CN"/>
        </w:rPr>
        <w:t>Qualcomm raised a new issue for p</w:t>
      </w:r>
      <w:r w:rsidRPr="00882802">
        <w:rPr>
          <w:lang w:eastAsia="zh-CN"/>
        </w:rPr>
        <w:t>rocessing time for downlink reception</w:t>
      </w:r>
      <w:r>
        <w:rPr>
          <w:lang w:eastAsia="zh-CN"/>
        </w:rPr>
        <w:t xml:space="preserve">. </w:t>
      </w:r>
      <w:r>
        <w:t>In terrestrial networks, eMTC/NB-IoT UEs typically require a certain amount of “minimum processing time” to process a downlink reception, before transmitting an associated uplink that may be triggered by the downlink reception. Examples include:</w:t>
      </w:r>
    </w:p>
    <w:p w14:paraId="29F5D3AE" w14:textId="77777777" w:rsidR="00882802" w:rsidRDefault="00882802" w:rsidP="00882802">
      <w:pPr>
        <w:pStyle w:val="ListParagraph"/>
        <w:numPr>
          <w:ilvl w:val="0"/>
          <w:numId w:val="20"/>
        </w:numPr>
        <w:tabs>
          <w:tab w:val="num" w:pos="360"/>
        </w:tabs>
      </w:pPr>
      <w:r>
        <w:t>(N)PDSCH triggering HARQ-ACK</w:t>
      </w:r>
    </w:p>
    <w:p w14:paraId="56C67EB2" w14:textId="77777777" w:rsidR="00882802" w:rsidRDefault="00882802" w:rsidP="00882802">
      <w:pPr>
        <w:pStyle w:val="ListParagraph"/>
        <w:numPr>
          <w:ilvl w:val="0"/>
          <w:numId w:val="20"/>
        </w:numPr>
        <w:tabs>
          <w:tab w:val="num" w:pos="360"/>
        </w:tabs>
      </w:pPr>
      <w:r>
        <w:t>(N)PDCCH triggering (N)PUSCH</w:t>
      </w:r>
    </w:p>
    <w:p w14:paraId="17F76442" w14:textId="77777777" w:rsidR="00882802" w:rsidRDefault="00882802" w:rsidP="00882802">
      <w:pPr>
        <w:pStyle w:val="ListParagraph"/>
        <w:numPr>
          <w:ilvl w:val="0"/>
          <w:numId w:val="20"/>
        </w:numPr>
        <w:tabs>
          <w:tab w:val="num" w:pos="360"/>
        </w:tabs>
      </w:pPr>
      <w:r>
        <w:t>(N)PDCCH triggering PDCCH-ordered (N)PRACH</w:t>
      </w:r>
    </w:p>
    <w:p w14:paraId="2C75D31A" w14:textId="77777777" w:rsidR="00882802" w:rsidRDefault="00882802" w:rsidP="00882802"/>
    <w:p w14:paraId="60EAFA7F" w14:textId="20D75030" w:rsidR="00882802" w:rsidRPr="00623C8D" w:rsidRDefault="00882802" w:rsidP="00882802">
      <w:r>
        <w:t>As example of NPDSCH triggering HARQ-ACK in NB-IoT</w:t>
      </w:r>
      <w:r w:rsidR="00623C8D">
        <w:t xml:space="preserve"> is provided below</w:t>
      </w:r>
      <w:r>
        <w:t>.</w:t>
      </w:r>
      <w:r w:rsidR="00623C8D">
        <w:t xml:space="preserve"> </w:t>
      </w:r>
      <w:r w:rsidR="00623C8D">
        <w:rPr>
          <w:lang w:val="en-US"/>
        </w:rPr>
        <w:t>T</w:t>
      </w:r>
      <w:r>
        <w:rPr>
          <w:lang w:val="en-US"/>
        </w:rPr>
        <w:t>he standards text (from TS 36.213) for transmitting HARQ-ACK</w:t>
      </w:r>
      <w:r w:rsidR="00623C8D">
        <w:rPr>
          <w:lang w:val="en-US"/>
        </w:rPr>
        <w:t xml:space="preserve"> is as follows</w:t>
      </w:r>
      <w:r>
        <w:rPr>
          <w:lang w:val="en-US"/>
        </w:rPr>
        <w:t>:</w:t>
      </w:r>
    </w:p>
    <w:p w14:paraId="3198D266" w14:textId="77777777" w:rsidR="00882802" w:rsidRDefault="00882802" w:rsidP="00623C8D">
      <w:pPr>
        <w:ind w:left="284"/>
        <w:rPr>
          <w:lang w:val="en-US"/>
        </w:rPr>
      </w:pPr>
      <w:r>
        <w:rPr>
          <w:i/>
          <w:iCs/>
          <w:lang w:val="en-US"/>
        </w:rPr>
        <w:t>16.4.2   UE procedure for reporting ACK/NACK</w:t>
      </w:r>
    </w:p>
    <w:p w14:paraId="4ECC5AFC" w14:textId="77777777" w:rsidR="00882802" w:rsidRDefault="00882802" w:rsidP="00623C8D">
      <w:pPr>
        <w:ind w:left="284"/>
        <w:rPr>
          <w:lang w:val="en-US"/>
        </w:rPr>
      </w:pPr>
      <w:r>
        <w:rPr>
          <w:i/>
          <w:iCs/>
          <w:lang w:val="en-US"/>
        </w:rPr>
        <w:t xml:space="preserve">The UE shall upon detection of a NPDSCH transmission ending in NB-IoT subframe n intended for the UE and for which an ACK/NACK shall be provided, start, after the end of </w:t>
      </w:r>
    </w:p>
    <w:p w14:paraId="10CB5DC6" w14:textId="77777777" w:rsidR="00882802" w:rsidRDefault="00882802" w:rsidP="00623C8D">
      <w:pPr>
        <w:ind w:left="284"/>
        <w:rPr>
          <w:lang w:val="en-US"/>
        </w:rPr>
      </w:pPr>
      <w:r>
        <w:rPr>
          <w:i/>
          <w:iCs/>
          <w:lang w:val="en-US"/>
        </w:rPr>
        <w:t xml:space="preserve">-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-1</m:t>
        </m:r>
      </m:oMath>
      <w:r>
        <w:rPr>
          <w:i/>
          <w:iCs/>
          <w:lang w:val="en-US"/>
        </w:rPr>
        <w:t xml:space="preserve"> DL subframe for FDD,</w:t>
      </w:r>
    </w:p>
    <w:p w14:paraId="64D941CE" w14:textId="77777777" w:rsidR="00882802" w:rsidRDefault="00882802" w:rsidP="00623C8D">
      <w:pPr>
        <w:ind w:left="284"/>
        <w:rPr>
          <w:lang w:val="en-US"/>
        </w:rPr>
      </w:pPr>
      <w:r>
        <w:rPr>
          <w:i/>
          <w:iCs/>
          <w:lang w:val="en-US"/>
        </w:rPr>
        <w:t xml:space="preserve">-    </w:t>
      </w: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-1</m:t>
        </m:r>
      </m:oMath>
      <w:r>
        <w:rPr>
          <w:i/>
          <w:iCs/>
          <w:lang w:val="en-US"/>
        </w:rPr>
        <w:t xml:space="preserve"> NB-IoT UL subframes following the end of n+12 subframe for TDD,</w:t>
      </w:r>
    </w:p>
    <w:p w14:paraId="7DBE639C" w14:textId="77777777" w:rsidR="00882802" w:rsidRDefault="00882802" w:rsidP="00623C8D">
      <w:pPr>
        <w:ind w:left="284"/>
        <w:rPr>
          <w:lang w:val="en-US"/>
        </w:rPr>
      </w:pPr>
      <w:r>
        <w:rPr>
          <w:i/>
          <w:iCs/>
          <w:lang w:val="en-US"/>
        </w:rPr>
        <w:t>transmission of the NPUSCH carrying ACK/NACK response…</w:t>
      </w:r>
    </w:p>
    <w:p w14:paraId="0C004778" w14:textId="77777777" w:rsidR="00882802" w:rsidRDefault="00882802" w:rsidP="00882802">
      <w:pPr>
        <w:rPr>
          <w:lang w:val="en-US"/>
        </w:rPr>
      </w:pPr>
      <w:r>
        <w:rPr>
          <w:lang w:val="en-US"/>
        </w:rPr>
        <w:t xml:space="preserve">In FDD (relevant to NTN), for terrestrial networks,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=0</m:t>
        </m:r>
      </m:oMath>
      <w:r>
        <w:rPr>
          <w:lang w:val="en-US"/>
        </w:rPr>
        <w:t>, and hence, the “processing time” that a UE has, to generate the HARQ ACK, is given by:</w:t>
      </w:r>
    </w:p>
    <w:p w14:paraId="01C27A60" w14:textId="77777777" w:rsidR="00882802" w:rsidRPr="00623C8D" w:rsidRDefault="00D04EE3" w:rsidP="00623C8D">
      <w:pPr>
        <w:pStyle w:val="ListParagraph"/>
        <w:numPr>
          <w:ilvl w:val="0"/>
          <w:numId w:val="21"/>
        </w:numPr>
        <w:tabs>
          <w:tab w:val="num" w:pos="360"/>
        </w:tabs>
        <w:rPr>
          <w:lang w:val="en-US"/>
        </w:rPr>
      </w:pPr>
      <m:oMath>
        <m:sSubSup>
          <m:sSubSupPr>
            <m:ctrlPr>
              <w:rPr>
                <w:rFonts w:ascii="Cambria Math" w:hAnsi="Cambria Math"/>
                <w:b/>
                <w:bCs/>
                <w:i/>
                <w:iCs/>
                <w:lang w:val="en-US"/>
              </w:rPr>
            </m:ctrlPr>
          </m:sSubSupPr>
          <m:e>
            <m:r>
              <m:rPr>
                <m:sty m:val="bi"/>
              </m:rPr>
              <w:rPr>
                <w:rFonts w:ascii="Cambria Math" w:hAnsi="Cambria Math"/>
                <w:lang w:val="en-US"/>
              </w:rPr>
              <m:t>k</m:t>
            </m:r>
          </m:e>
          <m:sub>
            <m:r>
              <m:rPr>
                <m:sty m:val="bi"/>
              </m:rPr>
              <w:rPr>
                <w:rFonts w:ascii="Cambria Math" w:hAnsi="Cambria Math"/>
                <w:lang w:val="en-US"/>
              </w:rPr>
              <m:t>0</m:t>
            </m:r>
          </m:sub>
          <m:sup>
            <m:r>
              <m:rPr>
                <m:sty m:val="bi"/>
              </m:rPr>
              <w:rPr>
                <w:rFonts w:ascii="Cambria Math" w:hAnsi="Cambria Math"/>
                <w:lang w:val="en-US"/>
              </w:rPr>
              <m:t>'</m:t>
            </m:r>
          </m:sup>
        </m:sSubSup>
        <m:r>
          <m:rPr>
            <m:sty m:val="bi"/>
          </m:rPr>
          <w:rPr>
            <w:rFonts w:ascii="Cambria Math" w:hAnsi="Cambria Math"/>
            <w:lang w:val="en-US"/>
          </w:rPr>
          <m:t>-1-</m:t>
        </m:r>
        <m:sSub>
          <m:sSubPr>
            <m:ctrlPr>
              <w:rPr>
                <w:rFonts w:ascii="Cambria Math" w:hAnsi="Cambria Math"/>
                <w:b/>
                <w:bCs/>
                <w:i/>
                <w:iCs/>
                <w:lang w:val="en-US"/>
              </w:rPr>
            </m:ctrlPr>
          </m:sSubPr>
          <m:e>
            <m:r>
              <m:rPr>
                <m:sty m:val="bi"/>
              </m:rPr>
              <w:rPr>
                <w:rFonts w:ascii="Cambria Math" w:hAnsi="Cambria Math"/>
                <w:lang w:val="en-US"/>
              </w:rPr>
              <m:t>[T</m:t>
            </m:r>
          </m:e>
          <m:sub>
            <m:r>
              <m:rPr>
                <m:sty m:val="bi"/>
              </m:rPr>
              <w:rPr>
                <w:rFonts w:ascii="Cambria Math" w:hAnsi="Cambria Math"/>
                <w:lang w:val="en-US"/>
              </w:rPr>
              <m:t>TA,terrestrial</m:t>
            </m:r>
          </m:sub>
        </m:sSub>
        <m:r>
          <m:rPr>
            <m:sty m:val="bi"/>
          </m:rPr>
          <w:rPr>
            <w:rFonts w:ascii="Cambria Math" w:hAnsi="Cambria Math"/>
            <w:lang w:val="en-US"/>
          </w:rPr>
          <m:t>]</m:t>
        </m:r>
      </m:oMath>
      <w:r w:rsidR="00882802" w:rsidRPr="00623C8D">
        <w:rPr>
          <w:b/>
          <w:bCs/>
          <w:lang w:val="en-US"/>
        </w:rPr>
        <w:t xml:space="preserve"> </w:t>
      </w:r>
      <w:r w:rsidR="00882802" w:rsidRPr="00623C8D">
        <w:rPr>
          <w:lang w:val="en-US"/>
        </w:rPr>
        <w:t>(Terms normalized to same time units, e.g., a time unit of slots/subframes)</w:t>
      </w:r>
    </w:p>
    <w:p w14:paraId="1CDD55B2" w14:textId="77777777" w:rsidR="00882802" w:rsidRDefault="00882802" w:rsidP="00882802">
      <w:pPr>
        <w:rPr>
          <w:lang w:val="en-US"/>
        </w:rPr>
      </w:pPr>
      <w:r>
        <w:rPr>
          <w:lang w:val="en-US"/>
        </w:rPr>
        <w:t xml:space="preserve">For legacy terrestrial, however, this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m:t>
            </m:r>
          </m:sub>
        </m:sSub>
      </m:oMath>
      <w:r>
        <w:rPr>
          <w:lang w:val="en-US"/>
        </w:rPr>
        <w:t xml:space="preserve"> is typically very small. Hence, the “minimum” processing time that a UE needs (in terrestrial) is given by:</w:t>
      </w:r>
    </w:p>
    <w:p w14:paraId="722D5692" w14:textId="77777777" w:rsidR="00882802" w:rsidRPr="00623C8D" w:rsidRDefault="00D04EE3" w:rsidP="00623C8D">
      <w:pPr>
        <w:pStyle w:val="ListParagraph"/>
        <w:numPr>
          <w:ilvl w:val="0"/>
          <w:numId w:val="21"/>
        </w:numPr>
        <w:tabs>
          <w:tab w:val="num" w:pos="360"/>
        </w:tabs>
        <w:rPr>
          <w:lang w:val="en-US"/>
        </w:rPr>
      </w:pPr>
      <m:oMath>
        <m:sSubSup>
          <m:sSubSupPr>
            <m:ctrlPr>
              <w:rPr>
                <w:rFonts w:ascii="Cambria Math" w:hAnsi="Cambria Math"/>
                <w:b/>
                <w:bCs/>
                <w:i/>
                <w:iCs/>
                <w:lang w:val="en-US"/>
              </w:rPr>
            </m:ctrlPr>
          </m:sSubSupPr>
          <m:e>
            <m:r>
              <m:rPr>
                <m:sty m:val="bi"/>
              </m:rPr>
              <w:rPr>
                <w:rFonts w:ascii="Cambria Math" w:hAnsi="Cambria Math"/>
                <w:lang w:val="en-US"/>
              </w:rPr>
              <m:t>T</m:t>
            </m:r>
          </m:e>
          <m:sub>
            <m:r>
              <m:rPr>
                <m:sty m:val="bi"/>
              </m:rPr>
              <w:rPr>
                <w:rFonts w:ascii="Cambria Math" w:hAnsi="Cambria Math"/>
                <w:lang w:val="en-US"/>
              </w:rPr>
              <m:t>proc,terrestrial</m:t>
            </m:r>
          </m:sub>
          <m:sup>
            <m:r>
              <m:rPr>
                <m:sty m:val="bi"/>
              </m:rPr>
              <w:rPr>
                <w:rFonts w:ascii="Cambria Math" w:hAnsi="Cambria Math"/>
                <w:lang w:val="en-US"/>
              </w:rPr>
              <m:t>min</m:t>
            </m:r>
          </m:sup>
        </m:sSubSup>
        <m:r>
          <m:rPr>
            <m:sty m:val="bi"/>
          </m:rPr>
          <w:rPr>
            <w:rFonts w:ascii="Cambria Math" w:hAnsi="Cambria Math"/>
            <w:lang w:val="en-US"/>
          </w:rPr>
          <m:t>=</m:t>
        </m:r>
        <m:sSubSup>
          <m:sSubSupPr>
            <m:ctrlPr>
              <w:rPr>
                <w:rFonts w:ascii="Cambria Math" w:hAnsi="Cambria Math"/>
                <w:b/>
                <w:bCs/>
                <w:i/>
                <w:iCs/>
                <w:lang w:val="en-US"/>
              </w:rPr>
            </m:ctrlPr>
          </m:sSubSupPr>
          <m:e>
            <m:r>
              <m:rPr>
                <m:sty m:val="bi"/>
              </m:rPr>
              <w:rPr>
                <w:rFonts w:ascii="Cambria Math" w:hAnsi="Cambria Math"/>
                <w:lang w:val="en-US"/>
              </w:rPr>
              <m:t>k</m:t>
            </m:r>
          </m:e>
          <m:sub>
            <m:r>
              <m:rPr>
                <m:sty m:val="bi"/>
              </m:rPr>
              <w:rPr>
                <w:rFonts w:ascii="Cambria Math" w:hAnsi="Cambria Math"/>
                <w:lang w:val="en-US"/>
              </w:rPr>
              <m:t>0</m:t>
            </m:r>
          </m:sub>
          <m:sup>
            <m:r>
              <m:rPr>
                <m:sty m:val="bi"/>
              </m:rPr>
              <w:rPr>
                <w:rFonts w:ascii="Cambria Math" w:hAnsi="Cambria Math"/>
                <w:lang w:val="en-US"/>
              </w:rPr>
              <m:t>',min</m:t>
            </m:r>
          </m:sup>
        </m:sSubSup>
        <m:r>
          <m:rPr>
            <m:sty m:val="bi"/>
          </m:rPr>
          <w:rPr>
            <w:rFonts w:ascii="Cambria Math" w:hAnsi="Cambria Math"/>
            <w:lang w:val="en-US"/>
          </w:rPr>
          <m:t>-1-</m:t>
        </m:r>
        <m:sSubSup>
          <m:sSubSupPr>
            <m:ctrlPr>
              <w:rPr>
                <w:rFonts w:ascii="Cambria Math" w:hAnsi="Cambria Math"/>
                <w:b/>
                <w:bCs/>
                <w:i/>
                <w:iCs/>
                <w:lang w:val="en-US"/>
              </w:rPr>
            </m:ctrlPr>
          </m:sSubSupPr>
          <m:e>
            <m:r>
              <m:rPr>
                <m:sty m:val="bi"/>
              </m:rPr>
              <w:rPr>
                <w:rFonts w:ascii="Cambria Math" w:hAnsi="Cambria Math"/>
                <w:lang w:val="en-US"/>
              </w:rPr>
              <m:t>[T</m:t>
            </m:r>
          </m:e>
          <m:sub>
            <m:r>
              <m:rPr>
                <m:sty m:val="bi"/>
              </m:rPr>
              <w:rPr>
                <w:rFonts w:ascii="Cambria Math" w:hAnsi="Cambria Math"/>
                <w:lang w:val="en-US"/>
              </w:rPr>
              <m:t>TA,terrestrial</m:t>
            </m:r>
          </m:sub>
          <m:sup>
            <m:r>
              <m:rPr>
                <m:sty m:val="bi"/>
              </m:rPr>
              <w:rPr>
                <w:rFonts w:ascii="Cambria Math" w:hAnsi="Cambria Math"/>
                <w:lang w:val="en-US"/>
              </w:rPr>
              <m:t>max</m:t>
            </m:r>
          </m:sup>
        </m:sSubSup>
        <m:r>
          <m:rPr>
            <m:sty m:val="bi"/>
          </m:rPr>
          <w:rPr>
            <w:rFonts w:ascii="Cambria Math" w:hAnsi="Cambria Math"/>
            <w:lang w:val="en-US"/>
          </w:rPr>
          <m:t>]</m:t>
        </m:r>
      </m:oMath>
      <w:r w:rsidR="00882802" w:rsidRPr="00623C8D">
        <w:rPr>
          <w:lang w:val="en-US"/>
        </w:rPr>
        <w:t xml:space="preserve"> (Terms normalized to same time units, e.g., a time unit of slots/subframes)</w:t>
      </w:r>
    </w:p>
    <w:p w14:paraId="505F05C4" w14:textId="027F2306" w:rsidR="00882802" w:rsidRDefault="00882802" w:rsidP="00882802">
      <w:pPr>
        <w:rPr>
          <w:b/>
          <w:bCs/>
          <w:iCs/>
          <w:lang w:val="en-US"/>
        </w:rPr>
      </w:pPr>
      <w:r>
        <w:rPr>
          <w:b/>
          <w:bCs/>
        </w:rPr>
        <w:t xml:space="preserve">In terrestrial networks, the minimum processing time that a UE needs to process an NPDSCH before it can transmit a corresponding HARQ-ACK is given by </w:t>
      </w:r>
      <m:oMath>
        <m:sSubSup>
          <m:sSubSupPr>
            <m:ctrlPr>
              <w:rPr>
                <w:rFonts w:ascii="Cambria Math" w:hAnsi="Cambria Math"/>
                <w:b/>
                <w:bCs/>
                <w:i/>
                <w:iCs/>
                <w:lang w:val="en-US"/>
              </w:rPr>
            </m:ctrlPr>
          </m:sSubSupPr>
          <m:e>
            <m:r>
              <m:rPr>
                <m:sty m:val="bi"/>
              </m:rPr>
              <w:rPr>
                <w:rFonts w:ascii="Cambria Math" w:hAnsi="Cambria Math"/>
                <w:lang w:val="en-US"/>
              </w:rPr>
              <m:t>k</m:t>
            </m:r>
          </m:e>
          <m:sub>
            <m:r>
              <m:rPr>
                <m:sty m:val="bi"/>
              </m:rPr>
              <w:rPr>
                <w:rFonts w:ascii="Cambria Math" w:hAnsi="Cambria Math"/>
                <w:lang w:val="en-US"/>
              </w:rPr>
              <m:t>0</m:t>
            </m:r>
          </m:sub>
          <m:sup>
            <m:r>
              <m:rPr>
                <m:sty m:val="bi"/>
              </m:rPr>
              <w:rPr>
                <w:rFonts w:ascii="Cambria Math" w:hAnsi="Cambria Math"/>
                <w:lang w:val="en-US"/>
              </w:rPr>
              <m:t>',min</m:t>
            </m:r>
          </m:sup>
        </m:sSubSup>
        <m:r>
          <m:rPr>
            <m:sty m:val="bi"/>
          </m:rPr>
          <w:rPr>
            <w:rFonts w:ascii="Cambria Math" w:hAnsi="Cambria Math"/>
            <w:lang w:val="en-US"/>
          </w:rPr>
          <m:t>-1-</m:t>
        </m:r>
        <m:sSubSup>
          <m:sSubSupPr>
            <m:ctrlPr>
              <w:rPr>
                <w:rFonts w:ascii="Cambria Math" w:hAnsi="Cambria Math"/>
                <w:b/>
                <w:bCs/>
                <w:i/>
                <w:iCs/>
                <w:lang w:val="en-US"/>
              </w:rPr>
            </m:ctrlPr>
          </m:sSubSupPr>
          <m:e>
            <m:r>
              <m:rPr>
                <m:sty m:val="bi"/>
              </m:rPr>
              <w:rPr>
                <w:rFonts w:ascii="Cambria Math" w:hAnsi="Cambria Math"/>
                <w:lang w:val="en-US"/>
              </w:rPr>
              <m:t>[T</m:t>
            </m:r>
          </m:e>
          <m:sub>
            <m:r>
              <m:rPr>
                <m:sty m:val="bi"/>
              </m:rPr>
              <w:rPr>
                <w:rFonts w:ascii="Cambria Math" w:hAnsi="Cambria Math"/>
                <w:lang w:val="en-US"/>
              </w:rPr>
              <m:t>TA,terrestrial</m:t>
            </m:r>
          </m:sub>
          <m:sup>
            <m:r>
              <m:rPr>
                <m:sty m:val="bi"/>
              </m:rPr>
              <w:rPr>
                <w:rFonts w:ascii="Cambria Math" w:hAnsi="Cambria Math"/>
                <w:lang w:val="en-US"/>
              </w:rPr>
              <m:t>max</m:t>
            </m:r>
          </m:sup>
        </m:sSubSup>
        <m:r>
          <m:rPr>
            <m:sty m:val="bi"/>
          </m:rPr>
          <w:rPr>
            <w:rFonts w:ascii="Cambria Math" w:hAnsi="Cambria Math"/>
            <w:lang w:val="en-US"/>
          </w:rPr>
          <m:t>]</m:t>
        </m:r>
      </m:oMath>
      <w:r>
        <w:rPr>
          <w:b/>
          <w:bCs/>
          <w:iCs/>
          <w:lang w:val="en-US"/>
        </w:rPr>
        <w:t>.</w:t>
      </w:r>
    </w:p>
    <w:p w14:paraId="686D0B3D" w14:textId="77777777" w:rsidR="00882802" w:rsidRDefault="00882802" w:rsidP="00882802">
      <w:pPr>
        <w:rPr>
          <w:lang w:val="en-US"/>
        </w:rPr>
      </w:pPr>
      <w:r>
        <w:rPr>
          <w:lang w:val="en-US"/>
        </w:rPr>
        <w:t xml:space="preserve">For NTN, there is a very large TA, which is reflected by the </w:t>
      </w:r>
      <w:r>
        <w:rPr>
          <w:highlight w:val="yellow"/>
          <w:lang w:val="en-US"/>
        </w:rPr>
        <w:t>following two additional terms (w.r.t terrestrial)</w:t>
      </w:r>
      <w:r>
        <w:rPr>
          <w:lang w:val="en-US"/>
        </w:rPr>
        <w:t xml:space="preserve"> in the expression for TA in TS 36.211: </w:t>
      </w:r>
    </w:p>
    <w:p w14:paraId="3A551799" w14:textId="77777777" w:rsidR="00882802" w:rsidRPr="00623C8D" w:rsidRDefault="00D04EE3" w:rsidP="00623C8D">
      <w:pPr>
        <w:pStyle w:val="ListParagraph"/>
        <w:numPr>
          <w:ilvl w:val="0"/>
          <w:numId w:val="21"/>
        </w:numPr>
        <w:tabs>
          <w:tab w:val="num" w:pos="360"/>
        </w:tabs>
        <w:rPr>
          <w:lang w:val="en-US"/>
        </w:rPr>
      </w:pPr>
      <m:oMath>
        <m:sSub>
          <m:sSubPr>
            <m:ctrlPr>
              <w:rPr>
                <w:rFonts w:ascii="Cambria Math" w:hAnsi="Cambria Math"/>
                <w:i/>
                <w:iCs/>
                <w:lang w:val="en-US"/>
              </w:rPr>
            </m:ctrlPr>
          </m:sSubPr>
          <m:e>
            <m:r>
              <w:rPr>
                <w:rFonts w:ascii="Cambria Math" w:hAnsi="Cambria Math"/>
                <w:lang w:val="en-US"/>
              </w:rPr>
              <m:t>T</m:t>
            </m:r>
          </m:e>
          <m:sub>
            <m:r>
              <m:rPr>
                <m:nor/>
              </m:rPr>
              <w:rPr>
                <w:lang w:val="en-US"/>
              </w:rPr>
              <m:t>TA</m:t>
            </m:r>
            <m:r>
              <w:rPr>
                <w:rFonts w:ascii="Cambria Math" w:hAnsi="Cambria Math"/>
                <w:lang w:val="en-US"/>
              </w:rPr>
              <m:t>,NTN</m:t>
            </m:r>
          </m:sub>
        </m:sSub>
        <m:r>
          <w:rPr>
            <w:rFonts w:ascii="Cambria Math" w:hAnsi="Cambria Math"/>
            <w:lang w:val="en-US"/>
          </w:rPr>
          <m:t>=</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N</m:t>
                </m:r>
              </m:e>
              <m:sub>
                <m:r>
                  <m:rPr>
                    <m:nor/>
                  </m:rPr>
                  <w:rPr>
                    <w:lang w:val="en-US"/>
                  </w:rPr>
                  <m:t>TA</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N</m:t>
                </m:r>
              </m:e>
              <m:sub>
                <m:r>
                  <m:rPr>
                    <m:nor/>
                  </m:rPr>
                  <w:rPr>
                    <w:lang w:val="en-US"/>
                  </w:rPr>
                  <m:t>TA,offset</m:t>
                </m:r>
              </m:sub>
            </m:sSub>
            <m:r>
              <w:rPr>
                <w:rFonts w:ascii="Cambria Math" w:hAnsi="Cambria Math"/>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common</m:t>
                </m:r>
              </m:sup>
            </m:sSubSup>
            <m: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UE</m:t>
                </m:r>
              </m:sup>
            </m:sSubSup>
          </m:e>
        </m:d>
        <m:sSub>
          <m:sSubPr>
            <m:ctrlPr>
              <w:rPr>
                <w:rFonts w:ascii="Cambria Math" w:hAnsi="Cambria Math"/>
                <w:i/>
                <w:iCs/>
                <w:lang w:val="en-US"/>
              </w:rPr>
            </m:ctrlPr>
          </m:sSubPr>
          <m:e>
            <m:r>
              <w:rPr>
                <w:rFonts w:ascii="Cambria Math" w:hAnsi="Cambria Math"/>
                <w:lang w:val="en-US"/>
              </w:rPr>
              <m:t>T</m:t>
            </m:r>
          </m:e>
          <m:sub>
            <m:r>
              <m:rPr>
                <m:nor/>
              </m:rPr>
              <w:rPr>
                <w:lang w:val="en-US"/>
              </w:rPr>
              <m:t>s</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TA,terrestrial</m:t>
            </m:r>
          </m:sub>
        </m:sSub>
        <m:r>
          <m:rPr>
            <m:sty m:val="p"/>
          </m:rPr>
          <w:rPr>
            <w:rFonts w:ascii="Cambria Math" w:hAnsi="Cambria Math"/>
            <w:lang w:val="en-US"/>
          </w:rPr>
          <m:t>+</m:t>
        </m:r>
        <m:d>
          <m:dPr>
            <m:ctrlPr>
              <w:rPr>
                <w:rFonts w:ascii="Cambria Math" w:hAnsi="Cambria Math"/>
                <w:i/>
                <w:iCs/>
                <w:lang w:val="en-US"/>
              </w:rPr>
            </m:ctrlPr>
          </m:dPr>
          <m:e>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common</m:t>
                </m:r>
              </m:sup>
            </m:sSubSup>
            <m: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UE</m:t>
                </m:r>
              </m:sup>
            </m:sSubSup>
          </m:e>
        </m:d>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s</m:t>
            </m:r>
          </m:sub>
        </m:sSub>
      </m:oMath>
      <w:r w:rsidR="00882802" w:rsidRPr="00623C8D">
        <w:rPr>
          <w:lang w:val="en-US"/>
        </w:rPr>
        <w:t xml:space="preserve">. </w:t>
      </w:r>
    </w:p>
    <w:p w14:paraId="6D772CC2" w14:textId="77777777" w:rsidR="00882802" w:rsidRDefault="00882802" w:rsidP="00882802">
      <w:pPr>
        <w:rPr>
          <w:lang w:val="en-US"/>
        </w:rPr>
      </w:pPr>
      <w:r>
        <w:rPr>
          <w:lang w:val="en-US"/>
        </w:rPr>
        <w:t xml:space="preserve">Further, due to the (non-zero)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oMath>
      <w:r>
        <w:rPr>
          <w:lang w:val="en-US"/>
        </w:rPr>
        <w:t xml:space="preserve"> term in NTN, the “processing time” that the UE has in NTN, to generate the HARQ ACK is given by:</w:t>
      </w:r>
    </w:p>
    <w:p w14:paraId="0FFD0910" w14:textId="66CFA2A4" w:rsidR="00882802" w:rsidRPr="00623C8D" w:rsidRDefault="00D04EE3" w:rsidP="00623C8D">
      <w:pPr>
        <w:pStyle w:val="ListParagraph"/>
        <w:numPr>
          <w:ilvl w:val="0"/>
          <w:numId w:val="21"/>
        </w:numPr>
        <w:tabs>
          <w:tab w:val="num" w:pos="360"/>
        </w:tabs>
        <w:rPr>
          <w:lang w:val="en-US"/>
        </w:rPr>
      </w:pP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oMath>
      <w:r w:rsidR="00882802" w:rsidRPr="00623C8D">
        <w:rPr>
          <w:lang w:val="en-US"/>
        </w:rPr>
        <w:t xml:space="preserve"> (Terms normalized to same time units, e.g., a time unit of slots/subframes)</w:t>
      </w:r>
    </w:p>
    <w:p w14:paraId="79516494" w14:textId="77777777" w:rsidR="00882802" w:rsidRDefault="00882802" w:rsidP="00882802">
      <w:pPr>
        <w:rPr>
          <w:lang w:val="en-US"/>
        </w:rPr>
      </w:pPr>
      <w:r>
        <w:rPr>
          <w:lang w:val="en-US"/>
        </w:rPr>
        <w:t xml:space="preserve">Hence, if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&lt;</m:t>
        </m:r>
      </m:oMath>
      <w:r>
        <w:rPr>
          <w:lang w:val="en-US"/>
        </w:rPr>
        <w:t xml:space="preserve"> </w:t>
      </w:r>
      <m:oMath>
        <m:r>
          <m:rPr>
            <m:sty m:val="p"/>
          </m:rP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common</m:t>
            </m:r>
          </m:sup>
        </m:sSubSup>
        <m: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UE</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m:t>
        </m:r>
      </m:oMath>
      <w:r>
        <w:rPr>
          <w:lang w:val="en-US"/>
        </w:rPr>
        <w:t xml:space="preserve"> for a UE, the “processing time” to generate the HARQ ACK is smaller than terrestrial for a given value of </w:t>
      </w: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oMath>
      <w:r>
        <w:rPr>
          <w:lang w:val="en-US"/>
        </w:rPr>
        <w:t xml:space="preserve">. Such a scenario may occur, e.g., for certain UEs at the cell-edge, in a cell where the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oMath>
      <w:r>
        <w:rPr>
          <w:lang w:val="en-US"/>
        </w:rPr>
        <w:t xml:space="preserve"> is not configured overly conservatively</w:t>
      </w:r>
    </w:p>
    <w:p w14:paraId="428C83B1" w14:textId="77777777" w:rsidR="00882802" w:rsidRDefault="00882802" w:rsidP="00882802">
      <w:pPr>
        <w:rPr>
          <w:lang w:val="en-US"/>
        </w:rPr>
      </w:pPr>
      <w:r>
        <w:rPr>
          <w:lang w:val="en-US"/>
        </w:rPr>
        <w:t>We want to avoid such a situation, since certain legacy UEs cannot meet a “tighter than terrestrial” processing time (in this running example, from NPDSCH to HARQ-ACK)</w:t>
      </w:r>
    </w:p>
    <w:p w14:paraId="23A4F5F1" w14:textId="626F45A4" w:rsidR="00882802" w:rsidRDefault="00882802" w:rsidP="00882802">
      <w:pPr>
        <w:rPr>
          <w:b/>
          <w:bCs/>
          <w:iCs/>
          <w:lang w:val="en-US"/>
        </w:rPr>
      </w:pPr>
      <w:r>
        <w:rPr>
          <w:b/>
          <w:bCs/>
        </w:rPr>
        <w:lastRenderedPageBreak/>
        <w:t xml:space="preserve">Under certain circumstances—e.g., for the same value of </w:t>
      </w:r>
      <m:oMath>
        <m:sSubSup>
          <m:sSubSupPr>
            <m:ctrlPr>
              <w:rPr>
                <w:rFonts w:ascii="Cambria Math" w:hAnsi="Cambria Math"/>
                <w:b/>
                <w:bCs/>
                <w:i/>
              </w:rPr>
            </m:ctrlPr>
          </m:sSubSupPr>
          <m:e>
            <m:r>
              <m:rPr>
                <m:sty m:val="bi"/>
              </m:rPr>
              <w:rPr>
                <w:rFonts w:ascii="Cambria Math" w:hAnsi="Cambria Math"/>
              </w:rPr>
              <m:t>k</m:t>
            </m:r>
          </m:e>
          <m:sub>
            <m:r>
              <m:rPr>
                <m:sty m:val="bi"/>
              </m:rPr>
              <w:rPr>
                <w:rFonts w:ascii="Cambria Math" w:hAnsi="Cambria Math"/>
              </w:rPr>
              <m:t>0</m:t>
            </m:r>
          </m:sub>
          <m:sup>
            <m:r>
              <m:rPr>
                <m:sty m:val="bi"/>
              </m:rPr>
              <w:rPr>
                <w:rFonts w:ascii="Cambria Math" w:hAnsi="Cambria Math"/>
              </w:rPr>
              <m:t>'</m:t>
            </m:r>
          </m:sup>
        </m:sSubSup>
      </m:oMath>
      <w:r>
        <w:rPr>
          <w:b/>
          <w:bCs/>
        </w:rPr>
        <w:t xml:space="preserve">, if </w:t>
      </w:r>
      <m:oMath>
        <m:sSub>
          <m:sSubPr>
            <m:ctrlPr>
              <w:rPr>
                <w:rFonts w:ascii="Cambria Math" w:hAnsi="Cambria Math"/>
                <w:b/>
                <w:bCs/>
                <w:i/>
                <w:iCs/>
                <w:lang w:val="en-US"/>
              </w:rPr>
            </m:ctrlPr>
          </m:sSubPr>
          <m:e>
            <m:r>
              <m:rPr>
                <m:sty m:val="bi"/>
              </m:rPr>
              <w:rPr>
                <w:rFonts w:ascii="Cambria Math" w:hAnsi="Cambria Math"/>
                <w:lang w:val="en-US"/>
              </w:rPr>
              <m:t>K</m:t>
            </m:r>
          </m:e>
          <m:sub>
            <m:r>
              <m:rPr>
                <m:sty m:val="bi"/>
              </m:rPr>
              <w:rPr>
                <w:rFonts w:ascii="Cambria Math" w:hAnsi="Cambria Math"/>
                <w:lang w:val="en-US"/>
              </w:rPr>
              <m:t>offset</m:t>
            </m:r>
          </m:sub>
        </m:sSub>
        <m:r>
          <m:rPr>
            <m:sty m:val="bi"/>
          </m:rPr>
          <w:rPr>
            <w:rFonts w:ascii="Cambria Math" w:hAnsi="Cambria Math"/>
            <w:lang w:val="en-US"/>
          </w:rPr>
          <m:t>&lt;</m:t>
        </m:r>
      </m:oMath>
      <w:r>
        <w:rPr>
          <w:b/>
          <w:bCs/>
          <w:lang w:val="en-US"/>
        </w:rPr>
        <w:t xml:space="preserve"> </w:t>
      </w:r>
      <m:oMath>
        <m:r>
          <m:rPr>
            <m:sty m:val="b"/>
          </m:rPr>
          <w:rPr>
            <w:rFonts w:ascii="Cambria Math" w:hAnsi="Cambria Math"/>
            <w:lang w:val="en-US"/>
          </w:rPr>
          <m:t>[</m:t>
        </m:r>
        <m:sSubSup>
          <m:sSubSupPr>
            <m:ctrlPr>
              <w:rPr>
                <w:rFonts w:ascii="Cambria Math" w:hAnsi="Cambria Math"/>
                <w:b/>
                <w:bCs/>
                <w:i/>
                <w:iCs/>
                <w:highlight w:val="yellow"/>
                <w:lang w:val="en-US"/>
              </w:rPr>
            </m:ctrlPr>
          </m:sSubSupPr>
          <m:e>
            <m:r>
              <m:rPr>
                <m:sty m:val="bi"/>
              </m:rPr>
              <w:rPr>
                <w:rFonts w:ascii="Cambria Math" w:hAnsi="Cambria Math"/>
                <w:lang w:val="en-US"/>
              </w:rPr>
              <m:t>(N</m:t>
            </m:r>
          </m:e>
          <m:sub>
            <m:r>
              <m:rPr>
                <m:nor/>
              </m:rPr>
              <w:rPr>
                <w:b/>
                <w:bCs/>
                <w:highlight w:val="yellow"/>
                <w:lang w:val="en-US"/>
              </w:rPr>
              <m:t>TA,adj</m:t>
            </m:r>
          </m:sub>
          <m:sup>
            <m:r>
              <m:rPr>
                <m:nor/>
              </m:rPr>
              <w:rPr>
                <w:b/>
                <w:bCs/>
                <w:highlight w:val="yellow"/>
                <w:lang w:val="en-US"/>
              </w:rPr>
              <m:t>common</m:t>
            </m:r>
          </m:sup>
        </m:sSubSup>
        <m:r>
          <m:rPr>
            <m:sty m:val="bi"/>
          </m:rPr>
          <w:rPr>
            <w:rFonts w:ascii="Cambria Math" w:hAnsi="Cambria Math"/>
            <w:lang w:val="en-US"/>
          </w:rPr>
          <m:t>+</m:t>
        </m:r>
        <m:sSubSup>
          <m:sSubSupPr>
            <m:ctrlPr>
              <w:rPr>
                <w:rFonts w:ascii="Cambria Math" w:hAnsi="Cambria Math"/>
                <w:b/>
                <w:bCs/>
                <w:i/>
                <w:iCs/>
                <w:highlight w:val="yellow"/>
                <w:lang w:val="en-US"/>
              </w:rPr>
            </m:ctrlPr>
          </m:sSubSupPr>
          <m:e>
            <m:r>
              <m:rPr>
                <m:sty m:val="bi"/>
              </m:rPr>
              <w:rPr>
                <w:rFonts w:ascii="Cambria Math" w:hAnsi="Cambria Math"/>
                <w:lang w:val="en-US"/>
              </w:rPr>
              <m:t>N</m:t>
            </m:r>
          </m:e>
          <m:sub>
            <m:r>
              <m:rPr>
                <m:nor/>
              </m:rPr>
              <w:rPr>
                <w:b/>
                <w:bCs/>
                <w:highlight w:val="yellow"/>
                <w:lang w:val="en-US"/>
              </w:rPr>
              <m:t>TA,adj</m:t>
            </m:r>
          </m:sub>
          <m:sup>
            <m:r>
              <m:rPr>
                <m:nor/>
              </m:rPr>
              <w:rPr>
                <w:b/>
                <w:bCs/>
                <w:highlight w:val="yellow"/>
                <w:lang w:val="en-US"/>
              </w:rPr>
              <m:t>UE</m:t>
            </m:r>
          </m:sup>
        </m:sSubSup>
        <m:r>
          <m:rPr>
            <m:sty m:val="bi"/>
          </m:rPr>
          <w:rPr>
            <w:rFonts w:ascii="Cambria Math" w:hAnsi="Cambria Math"/>
            <w:lang w:val="en-US"/>
          </w:rPr>
          <m:t>)</m:t>
        </m:r>
        <m:sSub>
          <m:sSubPr>
            <m:ctrlPr>
              <w:rPr>
                <w:rFonts w:ascii="Cambria Math" w:hAnsi="Cambria Math"/>
                <w:b/>
                <w:bCs/>
                <w:i/>
                <w:iCs/>
                <w:lang w:val="en-US"/>
              </w:rPr>
            </m:ctrlPr>
          </m:sSubPr>
          <m:e>
            <m:r>
              <m:rPr>
                <m:sty m:val="bi"/>
              </m:rPr>
              <w:rPr>
                <w:rFonts w:ascii="Cambria Math" w:hAnsi="Cambria Math"/>
                <w:lang w:val="en-US"/>
              </w:rPr>
              <m:t>T</m:t>
            </m:r>
          </m:e>
          <m:sub>
            <m:r>
              <m:rPr>
                <m:sty m:val="bi"/>
              </m:rPr>
              <w:rPr>
                <w:rFonts w:ascii="Cambria Math" w:hAnsi="Cambria Math"/>
                <w:lang w:val="en-US"/>
              </w:rPr>
              <m:t>s</m:t>
            </m:r>
          </m:sub>
        </m:sSub>
        <m:r>
          <m:rPr>
            <m:sty m:val="bi"/>
          </m:rPr>
          <w:rPr>
            <w:rFonts w:ascii="Cambria Math" w:hAnsi="Cambria Math"/>
            <w:lang w:val="en-US"/>
          </w:rPr>
          <m:t>]</m:t>
        </m:r>
      </m:oMath>
      <w:r>
        <w:rPr>
          <w:b/>
          <w:bCs/>
          <w:iCs/>
          <w:lang w:val="en-US"/>
        </w:rPr>
        <w:t>—a  NB-IoT UE over NTN may have to process a NPDSCH in less than the minimum processing time afforded to it in terrestrial networks</w:t>
      </w:r>
    </w:p>
    <w:p w14:paraId="0A7BF3D3" w14:textId="77777777" w:rsidR="00882802" w:rsidRDefault="00882802" w:rsidP="00882802">
      <w:pPr>
        <w:tabs>
          <w:tab w:val="num" w:pos="360"/>
        </w:tabs>
        <w:rPr>
          <w:b/>
          <w:bCs/>
          <w:iCs/>
          <w:lang w:val="en-US"/>
        </w:rPr>
      </w:pPr>
      <w:r>
        <w:rPr>
          <w:b/>
          <w:bCs/>
          <w:iCs/>
          <w:lang w:val="en-US"/>
        </w:rPr>
        <w:t>This may prevent a legacy NB-IoT UE from operating seamlessly in an NTN network</w:t>
      </w:r>
    </w:p>
    <w:p w14:paraId="50458DE3" w14:textId="3275795F" w:rsidR="00882802" w:rsidRDefault="00882802" w:rsidP="00882802">
      <w:pPr>
        <w:rPr>
          <w:iCs/>
          <w:lang w:val="en-US"/>
        </w:rPr>
      </w:pPr>
      <w:r>
        <w:rPr>
          <w:iCs/>
          <w:lang w:val="en-US"/>
        </w:rPr>
        <w:t>To this end, we propose the following limitation in the specifications (for this running example of NPDSCH triggering HARQ-ACK), such that a NB-IoT UE is not required to meet a tighter processing timeline than terrestrial in NTN.</w:t>
      </w:r>
    </w:p>
    <w:p w14:paraId="5FBE110B" w14:textId="468AC8A0" w:rsidR="00623C8D" w:rsidRDefault="00623C8D" w:rsidP="00882802">
      <w:pPr>
        <w:rPr>
          <w:iCs/>
          <w:lang w:val="en-US"/>
        </w:rPr>
      </w:pPr>
      <w:r>
        <w:rPr>
          <w:iCs/>
          <w:lang w:val="en-US"/>
        </w:rPr>
        <w:t>Qualcomm make the following proposal</w:t>
      </w:r>
      <w:r w:rsidR="00A5304A">
        <w:rPr>
          <w:iCs/>
          <w:lang w:val="en-US"/>
        </w:rPr>
        <w:t xml:space="preserve"> for </w:t>
      </w:r>
      <w:r w:rsidR="00A5304A" w:rsidRPr="00A5304A">
        <w:rPr>
          <w:iCs/>
          <w:lang w:val="en-US"/>
        </w:rPr>
        <w:t>NPDSCH triggering HARQ-ACK</w:t>
      </w:r>
      <w:r>
        <w:rPr>
          <w:iCs/>
          <w:lang w:val="en-US"/>
        </w:rPr>
        <w:t>:</w:t>
      </w:r>
    </w:p>
    <w:p w14:paraId="17612C10" w14:textId="08D12A5C" w:rsidR="00882802" w:rsidRPr="00623C8D" w:rsidRDefault="00882802" w:rsidP="00623C8D">
      <w:pPr>
        <w:ind w:left="284"/>
        <w:rPr>
          <w:b/>
          <w:bCs/>
          <w:iCs/>
          <w:highlight w:val="yellow"/>
          <w:lang w:val="en-US"/>
        </w:rPr>
      </w:pPr>
      <w:r w:rsidRPr="00623C8D">
        <w:rPr>
          <w:b/>
          <w:bCs/>
          <w:iCs/>
          <w:highlight w:val="yellow"/>
          <w:lang w:val="en-US"/>
        </w:rPr>
        <w:t>For NB-IoT over NTN, for a NPDSCH triggering a HARQ-ACK, the following condition must be satisfied, for the UE to be required to process the NPDSCH:</w:t>
      </w:r>
    </w:p>
    <w:p w14:paraId="05E41930" w14:textId="77777777" w:rsidR="00882802" w:rsidRPr="00623C8D" w:rsidRDefault="00D04EE3" w:rsidP="00623C8D">
      <w:pPr>
        <w:tabs>
          <w:tab w:val="num" w:pos="360"/>
        </w:tabs>
        <w:ind w:left="284"/>
        <w:rPr>
          <w:b/>
          <w:bCs/>
          <w:iCs/>
          <w:highlight w:val="yellow"/>
          <w:lang w:val="en-US"/>
        </w:rPr>
      </w:pPr>
      <m:oMath>
        <m:d>
          <m:dPr>
            <m:ctrlPr>
              <w:rPr>
                <w:rFonts w:ascii="Cambria Math" w:hAnsi="Cambria Math"/>
                <w:b/>
                <w:bCs/>
                <w:i/>
                <w:iCs/>
                <w:highlight w:val="yellow"/>
                <w:lang w:val="en-US"/>
              </w:rPr>
            </m:ctrlPr>
          </m:dPr>
          <m:e>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m:t>
                </m:r>
              </m:sup>
            </m:sSubSup>
            <m:r>
              <m:rPr>
                <m:sty m:val="bi"/>
              </m:rPr>
              <w:rPr>
                <w:rFonts w:ascii="Cambria Math" w:hAnsi="Cambria Math"/>
                <w:highlight w:val="yellow"/>
                <w:lang w:val="en-US"/>
              </w:rPr>
              <m:t>-1+</m:t>
            </m:r>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r>
              <m:rPr>
                <m:sty m:val="bi"/>
              </m:rPr>
              <w:rPr>
                <w:rFonts w:ascii="Cambria Math" w:hAnsi="Cambria Math"/>
                <w:highlight w:val="yellow"/>
                <w:lang w:val="en-US"/>
              </w:rPr>
              <m:t>-</m:t>
            </m:r>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m:t>
            </m:r>
          </m:e>
        </m:d>
        <m:r>
          <m:rPr>
            <m:sty m:val="bi"/>
          </m:rPr>
          <w:rPr>
            <w:rFonts w:ascii="Cambria Math" w:hAnsi="Cambria Math"/>
            <w:highlight w:val="yellow"/>
            <w:lang w:val="en-US"/>
          </w:rPr>
          <m:t>≥</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proc,terrestrial</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m:t>
        </m:r>
        <m:d>
          <m:dPr>
            <m:begChr m:val="{"/>
            <m:endChr m:val="}"/>
            <m:ctrlPr>
              <w:rPr>
                <w:rFonts w:ascii="Cambria Math" w:hAnsi="Cambria Math"/>
                <w:b/>
                <w:bCs/>
                <w:i/>
                <w:iCs/>
                <w:highlight w:val="yellow"/>
                <w:lang w:val="en-US"/>
              </w:rPr>
            </m:ctrlPr>
          </m:dPr>
          <m:e>
            <m:r>
              <m:rPr>
                <m:sty m:val="bi"/>
              </m:rPr>
              <w:rPr>
                <w:rFonts w:ascii="Cambria Math" w:hAnsi="Cambria Math"/>
                <w:highlight w:val="yellow"/>
                <w:lang w:val="en-US"/>
              </w:rPr>
              <m:t> =</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',min</m:t>
                </m:r>
              </m:sup>
            </m:sSubSup>
            <m:r>
              <m:rPr>
                <m:sty m:val="bi"/>
              </m:rPr>
              <w:rPr>
                <w:rFonts w:ascii="Cambria Math" w:hAnsi="Cambria Math"/>
                <w:highlight w:val="yellow"/>
                <w:lang w:val="en-US"/>
              </w:rPr>
              <m:t>-1-</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r>
              <m:rPr>
                <m:sty m:val="bi"/>
              </m:rPr>
              <w:rPr>
                <w:rFonts w:ascii="Cambria Math" w:hAnsi="Cambria Math"/>
                <w:highlight w:val="yellow"/>
                <w:lang w:val="en-US"/>
              </w:rPr>
              <m:t>]</m:t>
            </m:r>
          </m:e>
        </m:d>
      </m:oMath>
      <w:r w:rsidR="00882802" w:rsidRPr="00623C8D">
        <w:rPr>
          <w:b/>
          <w:bCs/>
          <w:iCs/>
          <w:highlight w:val="yellow"/>
          <w:lang w:val="en-US"/>
        </w:rPr>
        <w:t xml:space="preserve">, </w:t>
      </w:r>
    </w:p>
    <w:p w14:paraId="1AA702D5" w14:textId="77777777" w:rsidR="00882802" w:rsidRDefault="00882802" w:rsidP="00623C8D">
      <w:pPr>
        <w:ind w:left="284"/>
        <w:rPr>
          <w:b/>
          <w:bCs/>
          <w:iCs/>
          <w:lang w:val="en-US"/>
        </w:rPr>
      </w:pPr>
      <w:r w:rsidRPr="00623C8D">
        <w:rPr>
          <w:b/>
          <w:bCs/>
          <w:iCs/>
          <w:highlight w:val="yellow"/>
          <w:lang w:val="en-US"/>
        </w:rPr>
        <w:t xml:space="preserve">where </w:t>
      </w:r>
      <m:oMath>
        <m:sSubSup>
          <m:sSubSupPr>
            <m:ctrlPr>
              <w:rPr>
                <w:rFonts w:ascii="Cambria Math" w:hAnsi="Cambria Math"/>
                <w:b/>
                <w:bCs/>
                <w:i/>
                <w:iCs/>
                <w:highlight w:val="yellow"/>
                <w:lang w:val="en-US"/>
              </w:rPr>
            </m:ctrlPr>
          </m:sSubSupPr>
          <m:e>
            <m:sSubSup>
              <m:sSubSupPr>
                <m:ctrlPr>
                  <w:rPr>
                    <w:rFonts w:ascii="Cambria Math" w:hAnsi="Cambria Math"/>
                    <w:b/>
                    <w:i/>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 min</m:t>
                </m:r>
              </m:sup>
            </m:sSubSup>
            <m:r>
              <m:rPr>
                <m:sty m:val="bi"/>
              </m:rPr>
              <w:rPr>
                <w:rFonts w:ascii="Cambria Math" w:hAnsi="Cambria Math"/>
                <w:highlight w:val="yellow"/>
                <w:lang w:val="en-US"/>
              </w:rPr>
              <m:t>, 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oMath>
      <w:r w:rsidRPr="00623C8D">
        <w:rPr>
          <w:b/>
          <w:bCs/>
          <w:iCs/>
          <w:highlight w:val="yellow"/>
          <w:lang w:val="en-US"/>
        </w:rPr>
        <w:t xml:space="preserve"> and  </w:t>
      </w:r>
      <m:oMath>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 xml:space="preserve"> </m:t>
        </m:r>
      </m:oMath>
      <w:r w:rsidRPr="00623C8D">
        <w:rPr>
          <w:b/>
          <w:bCs/>
          <w:iCs/>
          <w:highlight w:val="yellow"/>
          <w:lang w:val="en-US"/>
        </w:rPr>
        <w:t>are defined in TS 36.211, and [.] denotes a quantization to appropriate slot/subframe/RU units.</w:t>
      </w:r>
    </w:p>
    <w:p w14:paraId="70B031DA" w14:textId="77777777" w:rsidR="00623C8D" w:rsidRDefault="00623C8D" w:rsidP="00882802">
      <w:pPr>
        <w:rPr>
          <w:iCs/>
          <w:lang w:val="en-US"/>
        </w:rPr>
      </w:pPr>
    </w:p>
    <w:p w14:paraId="2B476900" w14:textId="77777777" w:rsidR="00623C8D" w:rsidRDefault="00882802" w:rsidP="00882802">
      <w:pPr>
        <w:rPr>
          <w:iCs/>
          <w:lang w:val="en-US"/>
        </w:rPr>
      </w:pPr>
      <w:r>
        <w:rPr>
          <w:iCs/>
          <w:lang w:val="en-US"/>
        </w:rPr>
        <w:t xml:space="preserve">While </w:t>
      </w:r>
      <w:r w:rsidR="00623C8D">
        <w:rPr>
          <w:iCs/>
          <w:lang w:val="en-US"/>
        </w:rPr>
        <w:t>the example above</w:t>
      </w:r>
      <w:r>
        <w:rPr>
          <w:iCs/>
          <w:lang w:val="en-US"/>
        </w:rPr>
        <w:t xml:space="preserve"> has been for NPDSCH triggering HARQ-ACK, the same principle applies to other downlink-triggering-uplink processing times</w:t>
      </w:r>
      <w:r w:rsidR="00623C8D">
        <w:rPr>
          <w:iCs/>
          <w:lang w:val="en-US"/>
        </w:rPr>
        <w:t xml:space="preserve">. </w:t>
      </w:r>
    </w:p>
    <w:p w14:paraId="03725E18" w14:textId="77777777" w:rsidR="00623C8D" w:rsidRDefault="00623C8D" w:rsidP="00882802">
      <w:pPr>
        <w:rPr>
          <w:iCs/>
          <w:lang w:val="en-US"/>
        </w:rPr>
      </w:pPr>
      <w:r>
        <w:rPr>
          <w:iCs/>
          <w:lang w:val="en-US"/>
        </w:rPr>
        <w:t xml:space="preserve">Qualcomm further propose for the </w:t>
      </w:r>
      <w:r w:rsidRPr="00623C8D">
        <w:rPr>
          <w:iCs/>
          <w:lang w:val="en-US"/>
        </w:rPr>
        <w:t>NPDCCH triggering a NPUSCH</w:t>
      </w:r>
      <w:r>
        <w:rPr>
          <w:iCs/>
          <w:lang w:val="en-US"/>
        </w:rPr>
        <w:t>:</w:t>
      </w:r>
    </w:p>
    <w:p w14:paraId="53C1C097" w14:textId="07E9EA6D" w:rsidR="00882802" w:rsidRPr="00623C8D" w:rsidRDefault="00882802" w:rsidP="00623C8D">
      <w:pPr>
        <w:ind w:left="284"/>
        <w:rPr>
          <w:b/>
          <w:bCs/>
          <w:iCs/>
          <w:highlight w:val="yellow"/>
          <w:lang w:val="en-US"/>
        </w:rPr>
      </w:pPr>
      <w:r w:rsidRPr="00623C8D">
        <w:rPr>
          <w:b/>
          <w:bCs/>
          <w:iCs/>
          <w:highlight w:val="yellow"/>
          <w:lang w:val="en-US"/>
        </w:rPr>
        <w:t>For NB-IoT over NTN, for a NPDCCH triggering a NPUSCH, the following condition must be satisfied, for the UE to be required to transmit the NPUSCH:</w:t>
      </w:r>
    </w:p>
    <w:p w14:paraId="4B06354D" w14:textId="77777777" w:rsidR="00882802" w:rsidRPr="00623C8D" w:rsidRDefault="00D04EE3" w:rsidP="00623C8D">
      <w:pPr>
        <w:tabs>
          <w:tab w:val="num" w:pos="360"/>
        </w:tabs>
        <w:ind w:left="284"/>
        <w:rPr>
          <w:b/>
          <w:bCs/>
          <w:iCs/>
          <w:highlight w:val="yellow"/>
          <w:lang w:val="en-US"/>
        </w:rPr>
      </w:pPr>
      <m:oMath>
        <m:d>
          <m:dPr>
            <m:ctrlPr>
              <w:rPr>
                <w:rFonts w:ascii="Cambria Math" w:hAnsi="Cambria Math"/>
                <w:b/>
                <w:bCs/>
                <w:i/>
                <w:iCs/>
                <w:highlight w:val="yellow"/>
                <w:lang w:val="en-US"/>
              </w:rPr>
            </m:ctrlPr>
          </m:dPr>
          <m:e>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0</m:t>
                </m:r>
              </m:sub>
            </m:sSub>
            <m:r>
              <m:rPr>
                <m:sty m:val="bi"/>
              </m:rPr>
              <w:rPr>
                <w:rFonts w:ascii="Cambria Math" w:hAnsi="Cambria Math"/>
                <w:highlight w:val="yellow"/>
                <w:lang w:val="en-US"/>
              </w:rPr>
              <m:t>-1+</m:t>
            </m:r>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r>
              <m:rPr>
                <m:sty m:val="bi"/>
              </m:rPr>
              <w:rPr>
                <w:rFonts w:ascii="Cambria Math" w:hAnsi="Cambria Math"/>
                <w:highlight w:val="yellow"/>
                <w:lang w:val="en-US"/>
              </w:rPr>
              <m:t>-</m:t>
            </m:r>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m:t>
            </m:r>
          </m:e>
        </m:d>
        <m:r>
          <m:rPr>
            <m:sty m:val="bi"/>
          </m:rPr>
          <w:rPr>
            <w:rFonts w:ascii="Cambria Math" w:hAnsi="Cambria Math"/>
            <w:highlight w:val="yellow"/>
            <w:lang w:val="en-US"/>
          </w:rPr>
          <m:t>≥</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proc,terrestrial</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m:t>
        </m:r>
        <m:d>
          <m:dPr>
            <m:begChr m:val="{"/>
            <m:endChr m:val="}"/>
            <m:ctrlPr>
              <w:rPr>
                <w:rFonts w:ascii="Cambria Math" w:hAnsi="Cambria Math"/>
                <w:b/>
                <w:bCs/>
                <w:i/>
                <w:iCs/>
                <w:highlight w:val="yellow"/>
                <w:lang w:val="en-US"/>
              </w:rPr>
            </m:ctrlPr>
          </m:dPr>
          <m:e>
            <m:r>
              <m:rPr>
                <m:sty m:val="bi"/>
              </m:rPr>
              <w:rPr>
                <w:rFonts w:ascii="Cambria Math" w:hAnsi="Cambria Math"/>
                <w:highlight w:val="yellow"/>
                <w:lang w:val="en-US"/>
              </w:rPr>
              <m:t> =</m:t>
            </m:r>
            <m:sSubSup>
              <m:sSubSupPr>
                <m:ctrlPr>
                  <w:rPr>
                    <w:rFonts w:ascii="Cambria Math" w:hAnsi="Cambria Math"/>
                    <w:b/>
                    <w:i/>
                    <w:highlight w:val="yellow"/>
                    <w:lang w:val="en-US"/>
                  </w:rPr>
                </m:ctrlPr>
              </m:sSubSupPr>
              <m:e>
                <m:r>
                  <m:rPr>
                    <m:sty m:val="bi"/>
                  </m:rPr>
                  <w:rPr>
                    <w:rFonts w:ascii="Cambria Math" w:hAnsi="Cambria Math"/>
                    <w:highlight w:val="yellow"/>
                    <w:lang w:val="en-US"/>
                  </w:rPr>
                  <m:t>k</m:t>
                </m:r>
                <m:ctrlPr>
                  <w:rPr>
                    <w:rFonts w:ascii="Cambria Math" w:hAnsi="Cambria Math"/>
                    <w:b/>
                    <w:bCs/>
                    <w:i/>
                    <w:iCs/>
                    <w:highlight w:val="yellow"/>
                    <w:lang w:val="en-US"/>
                  </w:rPr>
                </m:ctrlPr>
              </m:e>
              <m:sub>
                <m:r>
                  <m:rPr>
                    <m:sty m:val="bi"/>
                  </m:rPr>
                  <w:rPr>
                    <w:rFonts w:ascii="Cambria Math" w:hAnsi="Cambria Math"/>
                    <w:highlight w:val="yellow"/>
                    <w:lang w:val="en-US"/>
                  </w:rPr>
                  <m:t>0</m:t>
                </m:r>
                <m:ctrlPr>
                  <w:rPr>
                    <w:rFonts w:ascii="Cambria Math" w:hAnsi="Cambria Math"/>
                    <w:b/>
                    <w:bCs/>
                    <w:i/>
                    <w:iCs/>
                    <w:highlight w:val="yellow"/>
                    <w:lang w:val="en-US"/>
                  </w:rPr>
                </m:ctrlPr>
              </m:sub>
              <m:sup>
                <m:r>
                  <m:rPr>
                    <m:sty m:val="bi"/>
                  </m:rPr>
                  <w:rPr>
                    <w:rFonts w:ascii="Cambria Math" w:hAnsi="Cambria Math"/>
                    <w:highlight w:val="yellow"/>
                    <w:lang w:val="en-US"/>
                  </w:rPr>
                  <m:t>min</m:t>
                </m:r>
              </m:sup>
            </m:sSubSup>
            <m:r>
              <m:rPr>
                <m:sty m:val="bi"/>
              </m:rPr>
              <w:rPr>
                <w:rFonts w:ascii="Cambria Math" w:hAnsi="Cambria Math"/>
                <w:highlight w:val="yellow"/>
                <w:lang w:val="en-US"/>
              </w:rPr>
              <m:t>-1-</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r>
              <m:rPr>
                <m:sty m:val="bi"/>
              </m:rPr>
              <w:rPr>
                <w:rFonts w:ascii="Cambria Math" w:hAnsi="Cambria Math"/>
                <w:highlight w:val="yellow"/>
                <w:lang w:val="en-US"/>
              </w:rPr>
              <m:t>]</m:t>
            </m:r>
          </m:e>
        </m:d>
      </m:oMath>
      <w:r w:rsidR="00882802" w:rsidRPr="00623C8D">
        <w:rPr>
          <w:b/>
          <w:bCs/>
          <w:iCs/>
          <w:highlight w:val="yellow"/>
          <w:lang w:val="en-US"/>
        </w:rPr>
        <w:t xml:space="preserve">, </w:t>
      </w:r>
    </w:p>
    <w:p w14:paraId="483799A6" w14:textId="33D31C15" w:rsidR="00882802" w:rsidRDefault="00882802" w:rsidP="00623C8D">
      <w:pPr>
        <w:ind w:left="284"/>
        <w:rPr>
          <w:b/>
          <w:bCs/>
          <w:iCs/>
          <w:lang w:val="en-US"/>
        </w:rPr>
      </w:pPr>
      <w:r w:rsidRPr="00623C8D">
        <w:rPr>
          <w:b/>
          <w:bCs/>
          <w:iCs/>
          <w:highlight w:val="yellow"/>
          <w:lang w:val="en-US"/>
        </w:rPr>
        <w:t xml:space="preserve">where </w:t>
      </w:r>
      <m:oMath>
        <m:sSubSup>
          <m:sSubSupPr>
            <m:ctrlPr>
              <w:rPr>
                <w:rFonts w:ascii="Cambria Math" w:hAnsi="Cambria Math"/>
                <w:b/>
                <w:bCs/>
                <w:i/>
                <w:iCs/>
                <w:highlight w:val="yellow"/>
                <w:lang w:val="en-US"/>
              </w:rPr>
            </m:ctrlPr>
          </m:sSubSupPr>
          <m:e>
            <m:sSubSup>
              <m:sSubSupPr>
                <m:ctrlPr>
                  <w:rPr>
                    <w:rFonts w:ascii="Cambria Math" w:hAnsi="Cambria Math"/>
                    <w:b/>
                    <w:i/>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oMath>
      <w:r w:rsidRPr="00623C8D">
        <w:rPr>
          <w:b/>
          <w:bCs/>
          <w:iCs/>
          <w:highlight w:val="yellow"/>
          <w:lang w:val="en-US"/>
        </w:rPr>
        <w:t xml:space="preserve"> and  </w:t>
      </w:r>
      <m:oMath>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 xml:space="preserve"> </m:t>
        </m:r>
      </m:oMath>
      <w:r w:rsidRPr="00623C8D">
        <w:rPr>
          <w:b/>
          <w:bCs/>
          <w:iCs/>
          <w:highlight w:val="yellow"/>
          <w:lang w:val="en-US"/>
        </w:rPr>
        <w:t>are defined in the specifications, and [.] denotes a quantization to appropriate slot/subframe/RU units.</w:t>
      </w:r>
    </w:p>
    <w:p w14:paraId="44E92C38" w14:textId="135661DC" w:rsidR="00623C8D" w:rsidRDefault="00623C8D" w:rsidP="00882802">
      <w:pPr>
        <w:rPr>
          <w:b/>
          <w:bCs/>
          <w:iCs/>
          <w:lang w:val="en-US"/>
        </w:rPr>
      </w:pPr>
    </w:p>
    <w:p w14:paraId="73F4DE6E" w14:textId="2522876E" w:rsidR="00DC1BE7" w:rsidRPr="00DC1BE7" w:rsidRDefault="00DC1BE7" w:rsidP="00882802">
      <w:pPr>
        <w:rPr>
          <w:iCs/>
          <w:lang w:val="en-US"/>
        </w:rPr>
      </w:pPr>
      <w:r w:rsidRPr="00DC1BE7">
        <w:rPr>
          <w:iCs/>
          <w:lang w:val="en-US"/>
        </w:rPr>
        <w:t>Qualcomm further propose for a NPDCCH triggering a “PDCCH order” based NPRACH:</w:t>
      </w:r>
    </w:p>
    <w:p w14:paraId="180E4482" w14:textId="38B25D34" w:rsidR="00882802" w:rsidRPr="00DC1BE7" w:rsidRDefault="00882802" w:rsidP="00DC1BE7">
      <w:pPr>
        <w:ind w:left="284"/>
        <w:rPr>
          <w:b/>
          <w:bCs/>
          <w:iCs/>
          <w:highlight w:val="yellow"/>
          <w:lang w:val="en-US"/>
        </w:rPr>
      </w:pPr>
      <w:r w:rsidRPr="00DC1BE7">
        <w:rPr>
          <w:b/>
          <w:bCs/>
          <w:iCs/>
          <w:highlight w:val="yellow"/>
          <w:lang w:val="en-US"/>
        </w:rPr>
        <w:t>For NB-IoT over NTN, for a NPDCCH triggering a “PDCCH order” based NPRACH, the following condition must be satisfied, for the UE to be required to transmit the NPRACH:</w:t>
      </w:r>
    </w:p>
    <w:p w14:paraId="7666E279" w14:textId="77777777" w:rsidR="00882802" w:rsidRPr="00DC1BE7" w:rsidRDefault="00D04EE3" w:rsidP="00DC1BE7">
      <w:pPr>
        <w:tabs>
          <w:tab w:val="num" w:pos="360"/>
        </w:tabs>
        <w:ind w:left="284"/>
        <w:rPr>
          <w:b/>
          <w:bCs/>
          <w:iCs/>
          <w:highlight w:val="yellow"/>
          <w:lang w:val="en-US"/>
        </w:rPr>
      </w:pPr>
      <m:oMath>
        <m:d>
          <m:dPr>
            <m:ctrlPr>
              <w:rPr>
                <w:rFonts w:ascii="Cambria Math" w:hAnsi="Cambria Math"/>
                <w:b/>
                <w:bCs/>
                <w:i/>
                <w:iCs/>
                <w:highlight w:val="yellow"/>
                <w:lang w:val="en-US"/>
              </w:rPr>
            </m:ctrlPr>
          </m:dPr>
          <m:e>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2</m:t>
                </m:r>
              </m:sub>
            </m:sSub>
            <m:r>
              <m:rPr>
                <m:sty m:val="bi"/>
              </m:rPr>
              <w:rPr>
                <w:rFonts w:ascii="Cambria Math" w:hAnsi="Cambria Math"/>
                <w:highlight w:val="yellow"/>
                <w:lang w:val="en-US"/>
              </w:rPr>
              <m:t>-1+</m:t>
            </m:r>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r>
              <m:rPr>
                <m:sty m:val="bi"/>
              </m:rPr>
              <w:rPr>
                <w:rFonts w:ascii="Cambria Math" w:hAnsi="Cambria Math"/>
                <w:highlight w:val="yellow"/>
                <w:lang w:val="en-US"/>
              </w:rPr>
              <m:t>-</m:t>
            </m:r>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m:t>
            </m:r>
          </m:e>
        </m:d>
        <m:r>
          <m:rPr>
            <m:sty m:val="bi"/>
          </m:rPr>
          <w:rPr>
            <w:rFonts w:ascii="Cambria Math" w:hAnsi="Cambria Math"/>
            <w:highlight w:val="yellow"/>
            <w:lang w:val="en-US"/>
          </w:rPr>
          <m:t>≥</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proc,terrestrial</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m:t>
        </m:r>
        <m:d>
          <m:dPr>
            <m:begChr m:val="{"/>
            <m:endChr m:val="}"/>
            <m:ctrlPr>
              <w:rPr>
                <w:rFonts w:ascii="Cambria Math" w:hAnsi="Cambria Math"/>
                <w:b/>
                <w:bCs/>
                <w:i/>
                <w:iCs/>
                <w:highlight w:val="yellow"/>
                <w:lang w:val="en-US"/>
              </w:rPr>
            </m:ctrlPr>
          </m:dPr>
          <m:e>
            <m:r>
              <m:rPr>
                <m:sty m:val="bi"/>
              </m:rPr>
              <w:rPr>
                <w:rFonts w:ascii="Cambria Math" w:hAnsi="Cambria Math"/>
                <w:highlight w:val="yellow"/>
                <w:lang w:val="en-US"/>
              </w:rPr>
              <m:t> =</m:t>
            </m:r>
            <m:sSubSup>
              <m:sSubSupPr>
                <m:ctrlPr>
                  <w:rPr>
                    <w:rFonts w:ascii="Cambria Math" w:hAnsi="Cambria Math"/>
                    <w:b/>
                    <w:i/>
                    <w:highlight w:val="yellow"/>
                    <w:lang w:val="en-US"/>
                  </w:rPr>
                </m:ctrlPr>
              </m:sSubSupPr>
              <m:e>
                <m:r>
                  <m:rPr>
                    <m:sty m:val="bi"/>
                  </m:rPr>
                  <w:rPr>
                    <w:rFonts w:ascii="Cambria Math" w:hAnsi="Cambria Math"/>
                    <w:highlight w:val="yellow"/>
                    <w:lang w:val="en-US"/>
                  </w:rPr>
                  <m:t>k</m:t>
                </m:r>
                <m:ctrlPr>
                  <w:rPr>
                    <w:rFonts w:ascii="Cambria Math" w:hAnsi="Cambria Math"/>
                    <w:b/>
                    <w:bCs/>
                    <w:i/>
                    <w:iCs/>
                    <w:highlight w:val="yellow"/>
                    <w:lang w:val="en-US"/>
                  </w:rPr>
                </m:ctrlPr>
              </m:e>
              <m:sub>
                <m:r>
                  <m:rPr>
                    <m:sty m:val="bi"/>
                  </m:rPr>
                  <w:rPr>
                    <w:rFonts w:ascii="Cambria Math" w:hAnsi="Cambria Math"/>
                    <w:highlight w:val="yellow"/>
                    <w:lang w:val="en-US"/>
                  </w:rPr>
                  <m:t>2</m:t>
                </m:r>
                <m:ctrlPr>
                  <w:rPr>
                    <w:rFonts w:ascii="Cambria Math" w:hAnsi="Cambria Math"/>
                    <w:b/>
                    <w:bCs/>
                    <w:i/>
                    <w:iCs/>
                    <w:highlight w:val="yellow"/>
                    <w:lang w:val="en-US"/>
                  </w:rPr>
                </m:ctrlPr>
              </m:sub>
              <m:sup>
                <m:r>
                  <m:rPr>
                    <m:sty m:val="bi"/>
                  </m:rPr>
                  <w:rPr>
                    <w:rFonts w:ascii="Cambria Math" w:hAnsi="Cambria Math"/>
                    <w:highlight w:val="yellow"/>
                    <w:lang w:val="en-US"/>
                  </w:rPr>
                  <m:t>min</m:t>
                </m:r>
              </m:sup>
            </m:sSubSup>
            <m:r>
              <m:rPr>
                <m:sty m:val="bi"/>
              </m:rPr>
              <w:rPr>
                <w:rFonts w:ascii="Cambria Math" w:hAnsi="Cambria Math"/>
                <w:highlight w:val="yellow"/>
                <w:lang w:val="en-US"/>
              </w:rPr>
              <m:t>-1-</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r>
              <m:rPr>
                <m:sty m:val="bi"/>
              </m:rPr>
              <w:rPr>
                <w:rFonts w:ascii="Cambria Math" w:hAnsi="Cambria Math"/>
                <w:highlight w:val="yellow"/>
                <w:lang w:val="en-US"/>
              </w:rPr>
              <m:t>]</m:t>
            </m:r>
          </m:e>
        </m:d>
      </m:oMath>
      <w:r w:rsidR="00882802" w:rsidRPr="00DC1BE7">
        <w:rPr>
          <w:b/>
          <w:bCs/>
          <w:iCs/>
          <w:highlight w:val="yellow"/>
          <w:lang w:val="en-US"/>
        </w:rPr>
        <w:t xml:space="preserve">, </w:t>
      </w:r>
    </w:p>
    <w:p w14:paraId="640B4573" w14:textId="77777777" w:rsidR="00882802" w:rsidRDefault="00882802" w:rsidP="00DC1BE7">
      <w:pPr>
        <w:ind w:left="284"/>
        <w:rPr>
          <w:b/>
          <w:bCs/>
          <w:iCs/>
          <w:lang w:val="en-US"/>
        </w:rPr>
      </w:pPr>
      <w:r w:rsidRPr="00DC1BE7">
        <w:rPr>
          <w:b/>
          <w:bCs/>
          <w:iCs/>
          <w:highlight w:val="yellow"/>
          <w:lang w:val="en-US"/>
        </w:rPr>
        <w:t xml:space="preserve">where </w:t>
      </w:r>
      <m:oMath>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2</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xml:space="preserve">, </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oMath>
      <w:r w:rsidRPr="00DC1BE7">
        <w:rPr>
          <w:b/>
          <w:bCs/>
          <w:iCs/>
          <w:highlight w:val="yellow"/>
          <w:lang w:val="en-US"/>
        </w:rPr>
        <w:t xml:space="preserve"> and  </w:t>
      </w:r>
      <m:oMath>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 xml:space="preserve"> </m:t>
        </m:r>
      </m:oMath>
      <w:r w:rsidRPr="00DC1BE7">
        <w:rPr>
          <w:b/>
          <w:bCs/>
          <w:iCs/>
          <w:highlight w:val="yellow"/>
          <w:lang w:val="en-US"/>
        </w:rPr>
        <w:t>are defined in the specifications, and [.] denotes a quantization to appropriate slot/subframe/RU units.</w:t>
      </w:r>
    </w:p>
    <w:p w14:paraId="18190C15" w14:textId="77777777" w:rsidR="00DC1BE7" w:rsidRDefault="00DC1BE7" w:rsidP="00882802">
      <w:pPr>
        <w:rPr>
          <w:iCs/>
          <w:lang w:val="en-US"/>
        </w:rPr>
      </w:pPr>
    </w:p>
    <w:p w14:paraId="1F74329B" w14:textId="2DAE705B" w:rsidR="00882802" w:rsidRDefault="00882802" w:rsidP="00882802">
      <w:pPr>
        <w:rPr>
          <w:iCs/>
          <w:lang w:val="en-US"/>
        </w:rPr>
      </w:pPr>
      <w:r>
        <w:rPr>
          <w:iCs/>
          <w:lang w:val="en-US"/>
        </w:rPr>
        <w:t>While the above proposals are made for NB-IoT, similar amendments to the specifications are necessary to maintain adequate processing time for eMTC UEs over NTN.</w:t>
      </w:r>
    </w:p>
    <w:p w14:paraId="47C63861" w14:textId="13F13DE0" w:rsidR="00882802" w:rsidRDefault="00882802" w:rsidP="00DC1BE7">
      <w:pPr>
        <w:ind w:left="284"/>
        <w:rPr>
          <w:b/>
          <w:bCs/>
          <w:iCs/>
          <w:lang w:val="en-US"/>
        </w:rPr>
      </w:pPr>
      <w:r w:rsidRPr="00DC1BE7">
        <w:rPr>
          <w:b/>
          <w:bCs/>
          <w:iCs/>
          <w:highlight w:val="yellow"/>
          <w:lang w:val="en-US"/>
        </w:rPr>
        <w:t>Specify similar conditions for processing times for “downlink triggering uplink” settings for eMTC over NTN, as described in Proposals 1 through 3 for NB-IoT over NTN in this contribution.</w:t>
      </w:r>
    </w:p>
    <w:p w14:paraId="57DE59CE" w14:textId="133C854E" w:rsidR="00882802" w:rsidRDefault="00882802">
      <w:pPr>
        <w:rPr>
          <w:lang w:eastAsia="zh-CN"/>
        </w:rPr>
      </w:pPr>
    </w:p>
    <w:p w14:paraId="13D2BAF5" w14:textId="32C6F5D2" w:rsidR="00DC1BE7" w:rsidRDefault="00DC1BE7">
      <w:pPr>
        <w:rPr>
          <w:lang w:eastAsia="zh-CN"/>
        </w:rPr>
      </w:pPr>
      <w:r w:rsidRPr="00DC1BE7">
        <w:rPr>
          <w:b/>
          <w:bCs/>
          <w:highlight w:val="yellow"/>
          <w:lang w:eastAsia="zh-CN"/>
        </w:rPr>
        <w:t>Moderator view</w:t>
      </w:r>
      <w:r>
        <w:rPr>
          <w:lang w:eastAsia="zh-CN"/>
        </w:rPr>
        <w:t>: Qualcomm analysis is correct. T</w:t>
      </w:r>
      <w:r w:rsidRPr="00DC1BE7">
        <w:rPr>
          <w:lang w:eastAsia="zh-CN"/>
        </w:rPr>
        <w:t>he network is required to set K</w:t>
      </w:r>
      <w:r w:rsidRPr="00DC1BE7">
        <w:rPr>
          <w:vertAlign w:val="subscript"/>
          <w:lang w:eastAsia="zh-CN"/>
        </w:rPr>
        <w:t>offset</w:t>
      </w:r>
      <w:r w:rsidRPr="00DC1BE7">
        <w:rPr>
          <w:lang w:eastAsia="zh-CN"/>
        </w:rPr>
        <w:t xml:space="preserve"> larger than </w:t>
      </w:r>
      <w:proofErr w:type="gramStart"/>
      <w:r w:rsidRPr="00DC1BE7">
        <w:rPr>
          <w:lang w:eastAsia="zh-CN"/>
        </w:rPr>
        <w:t>T</w:t>
      </w:r>
      <w:r w:rsidRPr="00DC1BE7">
        <w:rPr>
          <w:vertAlign w:val="subscript"/>
          <w:lang w:eastAsia="zh-CN"/>
        </w:rPr>
        <w:t>TA,NTN</w:t>
      </w:r>
      <w:proofErr w:type="gramEnd"/>
      <w:r w:rsidRPr="00DC1BE7">
        <w:rPr>
          <w:lang w:eastAsia="zh-CN"/>
        </w:rPr>
        <w:t xml:space="preserve"> max to ensure these conditions</w:t>
      </w:r>
      <w:r w:rsidR="00A5304A">
        <w:rPr>
          <w:lang w:eastAsia="zh-CN"/>
        </w:rPr>
        <w:t xml:space="preserve"> for processing time for downlink reception for</w:t>
      </w:r>
    </w:p>
    <w:p w14:paraId="3AA5932E" w14:textId="574DF452" w:rsidR="00DC1BE7" w:rsidRDefault="00DC1BE7">
      <w:pPr>
        <w:rPr>
          <w:lang w:eastAsia="zh-CN"/>
        </w:rPr>
      </w:pPr>
    </w:p>
    <w:p w14:paraId="64A2C8E6" w14:textId="3588C75E" w:rsidR="00DC1BE7" w:rsidRDefault="00DC1BE7" w:rsidP="00DC1BE7">
      <w:pPr>
        <w:pStyle w:val="Heading2"/>
        <w:rPr>
          <w:lang w:eastAsia="zh-CN"/>
        </w:rPr>
      </w:pPr>
      <w:r>
        <w:rPr>
          <w:lang w:eastAsia="zh-CN"/>
        </w:rPr>
        <w:lastRenderedPageBreak/>
        <w:t>FL Recommendation</w:t>
      </w:r>
    </w:p>
    <w:p w14:paraId="4F257AD1" w14:textId="29512A93" w:rsidR="00A5304A" w:rsidRPr="00A5304A" w:rsidRDefault="00A5304A" w:rsidP="00A5304A">
      <w:pPr>
        <w:rPr>
          <w:i/>
          <w:iCs/>
          <w:lang w:eastAsia="zh-CN"/>
        </w:rPr>
      </w:pPr>
      <w:r w:rsidRPr="00A5304A">
        <w:rPr>
          <w:b/>
          <w:bCs/>
          <w:i/>
          <w:iCs/>
          <w:highlight w:val="yellow"/>
          <w:lang w:eastAsia="zh-CN"/>
        </w:rPr>
        <w:t>FL recommendation 4.1a</w:t>
      </w:r>
      <w:r w:rsidRPr="00A5304A">
        <w:rPr>
          <w:b/>
          <w:bCs/>
          <w:i/>
          <w:iCs/>
          <w:lang w:eastAsia="zh-CN"/>
        </w:rPr>
        <w:t xml:space="preserve">: </w:t>
      </w:r>
      <w:r w:rsidRPr="00A5304A">
        <w:rPr>
          <w:i/>
          <w:iCs/>
          <w:lang w:eastAsia="zh-CN"/>
        </w:rPr>
        <w:t>Support the following for “minimum processing time” to process a downlink reception, before transmitting an associated uplink that may be triggered by the downlink reception for NPDSCH/PDSCH triggering HARQ-ACK in NB-IoT/eMTC</w:t>
      </w:r>
    </w:p>
    <w:p w14:paraId="37DEAF49" w14:textId="77777777" w:rsidR="00A5304A" w:rsidRPr="00A5304A" w:rsidRDefault="00A5304A" w:rsidP="00A5304A">
      <w:pPr>
        <w:ind w:left="284"/>
        <w:rPr>
          <w:i/>
          <w:iCs/>
          <w:lang w:val="en-US"/>
        </w:rPr>
      </w:pPr>
      <w:r w:rsidRPr="00A5304A">
        <w:rPr>
          <w:i/>
          <w:iCs/>
          <w:lang w:val="en-US"/>
        </w:rPr>
        <w:t>For NB-IoT over NTN, for a NPDSCH triggering a HARQ-ACK, the following condition must be satisfied, for the UE to be required to process the NPDSCH:</w:t>
      </w:r>
    </w:p>
    <w:p w14:paraId="74F7551D" w14:textId="451B752F" w:rsidR="00A5304A" w:rsidRPr="00A5304A" w:rsidRDefault="00D04EE3" w:rsidP="00A5304A">
      <w:pPr>
        <w:tabs>
          <w:tab w:val="num" w:pos="360"/>
        </w:tabs>
        <w:ind w:left="284"/>
        <w:rPr>
          <w:i/>
          <w:iCs/>
          <w:lang w:val="en-US"/>
        </w:rPr>
      </w:pPr>
      <m:oMath>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e>
        </m:d>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proc,terrestrial</m:t>
            </m:r>
          </m:sub>
          <m:sup>
            <m:r>
              <w:rPr>
                <w:rFonts w:ascii="Cambria Math" w:hAnsi="Cambria Math"/>
                <w:lang w:val="en-US"/>
              </w:rPr>
              <m:t>min</m:t>
            </m:r>
          </m:sup>
        </m:sSubSup>
        <m:r>
          <w:rPr>
            <w:rFonts w:ascii="Cambria Math" w:hAnsi="Cambria Math"/>
            <w:lang w:val="en-US"/>
          </w:rPr>
          <m:t> </m:t>
        </m:r>
        <m:d>
          <m:dPr>
            <m:begChr m:val="{"/>
            <m:endChr m:val="}"/>
            <m:ctrlPr>
              <w:rPr>
                <w:rFonts w:ascii="Cambria Math" w:hAnsi="Cambria Math"/>
                <w:i/>
                <w:iCs/>
                <w:lang w:val="en-US"/>
              </w:rPr>
            </m:ctrlPr>
          </m:dPr>
          <m:e>
            <m:r>
              <w:rPr>
                <w:rFonts w:ascii="Cambria Math" w:hAnsi="Cambria Math"/>
                <w:lang w:val="en-US"/>
              </w:rPr>
              <m:t> =</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',min</m:t>
                </m:r>
              </m:sup>
            </m:sSubSup>
            <m:r>
              <w:rPr>
                <w:rFonts w:ascii="Cambria Math" w:hAnsi="Cambria Math"/>
                <w:lang w:val="en-US"/>
              </w:rPr>
              <m:t>-1-</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r>
              <w:rPr>
                <w:rFonts w:ascii="Cambria Math" w:hAnsi="Cambria Math"/>
                <w:lang w:val="en-US"/>
              </w:rPr>
              <m:t>]</m:t>
            </m:r>
          </m:e>
        </m:d>
      </m:oMath>
      <w:r w:rsidR="00A5304A" w:rsidRPr="00A5304A">
        <w:rPr>
          <w:i/>
          <w:iCs/>
          <w:lang w:val="en-US"/>
        </w:rPr>
        <w:t xml:space="preserve">, </w:t>
      </w:r>
    </w:p>
    <w:p w14:paraId="4F893252" w14:textId="2DC89960" w:rsidR="00A5304A" w:rsidRPr="00A5304A" w:rsidRDefault="00A5304A" w:rsidP="00A5304A">
      <w:pPr>
        <w:ind w:left="284"/>
        <w:rPr>
          <w:i/>
          <w:iCs/>
          <w:lang w:val="en-US"/>
        </w:rPr>
      </w:pPr>
      <w:r w:rsidRPr="00A5304A">
        <w:rPr>
          <w:i/>
          <w:iCs/>
          <w:lang w:val="en-US"/>
        </w:rPr>
        <w:t xml:space="preserve">where </w:t>
      </w:r>
      <m:oMath>
        <m:sSubSup>
          <m:sSubSupPr>
            <m:ctrlPr>
              <w:rPr>
                <w:rFonts w:ascii="Cambria Math" w:hAnsi="Cambria Math"/>
                <w:i/>
                <w:iCs/>
                <w:lang w:val="en-US"/>
              </w:rPr>
            </m:ctrlPr>
          </m:sSubSupPr>
          <m:e>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 min</m:t>
                </m:r>
              </m:sup>
            </m:sSubSup>
            <m:r>
              <w:rPr>
                <w:rFonts w:ascii="Cambria Math" w:hAnsi="Cambria Math"/>
                <w:lang w:val="en-US"/>
              </w:rPr>
              <m:t>, T</m:t>
            </m:r>
          </m:e>
          <m:sub>
            <m:r>
              <w:rPr>
                <w:rFonts w:ascii="Cambria Math" w:hAnsi="Cambria Math"/>
                <w:lang w:val="en-US"/>
              </w:rPr>
              <m:t>TA,terrestrial</m:t>
            </m:r>
          </m:sub>
          <m:sup>
            <m:r>
              <w:rPr>
                <w:rFonts w:ascii="Cambria Math" w:hAnsi="Cambria Math"/>
                <w:lang w:val="en-US"/>
              </w:rPr>
              <m:t>max</m:t>
            </m:r>
          </m:sup>
        </m:sSubSup>
      </m:oMath>
      <w:r w:rsidRPr="00A5304A">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Pr="00A5304A">
        <w:rPr>
          <w:i/>
          <w:iCs/>
          <w:lang w:val="en-US"/>
        </w:rPr>
        <w:t>are defined in TS 36.211, and [.] denotes a quantization to appropriate slot/subframe/RU units.</w:t>
      </w:r>
    </w:p>
    <w:p w14:paraId="1902F3A5" w14:textId="77777777" w:rsidR="00A5304A" w:rsidRDefault="00A5304A">
      <w:pPr>
        <w:rPr>
          <w:lang w:eastAsia="zh-CN"/>
        </w:rPr>
      </w:pPr>
    </w:p>
    <w:p w14:paraId="755EB6C2" w14:textId="37F08428" w:rsidR="00A5304A" w:rsidRPr="00A5304A" w:rsidRDefault="00A5304A" w:rsidP="00A5304A">
      <w:pPr>
        <w:rPr>
          <w:i/>
          <w:iCs/>
          <w:lang w:eastAsia="zh-CN"/>
        </w:rPr>
      </w:pPr>
      <w:r w:rsidRPr="00A5304A">
        <w:rPr>
          <w:b/>
          <w:bCs/>
          <w:i/>
          <w:iCs/>
          <w:highlight w:val="yellow"/>
          <w:lang w:eastAsia="zh-CN"/>
        </w:rPr>
        <w:t>FL recommendation 4.1b</w:t>
      </w:r>
      <w:r w:rsidRPr="00A5304A">
        <w:rPr>
          <w:b/>
          <w:bCs/>
          <w:i/>
          <w:iCs/>
          <w:lang w:eastAsia="zh-CN"/>
        </w:rPr>
        <w:t>:</w:t>
      </w:r>
      <w:r w:rsidRPr="00A5304A">
        <w:rPr>
          <w:b/>
          <w:bCs/>
          <w:lang w:eastAsia="zh-CN"/>
        </w:rPr>
        <w:t xml:space="preserve"> </w:t>
      </w:r>
      <w:r w:rsidRPr="00A5304A">
        <w:rPr>
          <w:i/>
          <w:iCs/>
          <w:lang w:eastAsia="zh-CN"/>
        </w:rPr>
        <w:t>Support the following for “minimum processing time” to process a downlink reception, before transmitting an associated uplink that may be triggered by the downlink reception for NPDCCH/PDCCH triggering NPUSCH/PUSH for NB-IoT/eMTC:</w:t>
      </w:r>
    </w:p>
    <w:p w14:paraId="536102E9" w14:textId="77777777" w:rsidR="00A5304A" w:rsidRPr="00A5304A" w:rsidRDefault="00A5304A" w:rsidP="00A5304A">
      <w:pPr>
        <w:ind w:left="284"/>
        <w:rPr>
          <w:i/>
          <w:iCs/>
          <w:lang w:val="en-US"/>
        </w:rPr>
      </w:pPr>
      <w:r w:rsidRPr="00A5304A">
        <w:rPr>
          <w:i/>
          <w:iCs/>
          <w:lang w:val="en-US"/>
        </w:rPr>
        <w:t>For NB-IoT over NTN, for a NPDCCH triggering a NPUSCH, the following condition must be satisfied, for the UE to be required to transmit the NPUSCH:</w:t>
      </w:r>
    </w:p>
    <w:p w14:paraId="4BB99377" w14:textId="4461053A" w:rsidR="00A5304A" w:rsidRPr="00A5304A" w:rsidRDefault="00D04EE3" w:rsidP="00A5304A">
      <w:pPr>
        <w:tabs>
          <w:tab w:val="num" w:pos="360"/>
        </w:tabs>
        <w:ind w:left="284"/>
        <w:rPr>
          <w:i/>
          <w:iCs/>
          <w:lang w:val="en-US"/>
        </w:rPr>
      </w:pP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0</m:t>
                </m:r>
              </m:sub>
            </m:sSub>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e>
        </m:d>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proc,terrestrial</m:t>
            </m:r>
          </m:sub>
          <m:sup>
            <m:r>
              <w:rPr>
                <w:rFonts w:ascii="Cambria Math" w:hAnsi="Cambria Math"/>
                <w:lang w:val="en-US"/>
              </w:rPr>
              <m:t>min</m:t>
            </m:r>
          </m:sup>
        </m:sSubSup>
        <m:r>
          <w:rPr>
            <w:rFonts w:ascii="Cambria Math" w:hAnsi="Cambria Math"/>
            <w:lang w:val="en-US"/>
          </w:rPr>
          <m:t> </m:t>
        </m:r>
        <m:d>
          <m:dPr>
            <m:begChr m:val="{"/>
            <m:endChr m:val="}"/>
            <m:ctrlPr>
              <w:rPr>
                <w:rFonts w:ascii="Cambria Math" w:hAnsi="Cambria Math"/>
                <w:i/>
                <w:iCs/>
                <w:lang w:val="en-US"/>
              </w:rPr>
            </m:ctrlPr>
          </m:dPr>
          <m:e>
            <m:r>
              <w:rPr>
                <w:rFonts w:ascii="Cambria Math" w:hAnsi="Cambria Math"/>
                <w:lang w:val="en-US"/>
              </w:rPr>
              <m:t> =</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min</m:t>
                </m:r>
              </m:sup>
            </m:sSubSup>
            <m:r>
              <w:rPr>
                <w:rFonts w:ascii="Cambria Math" w:hAnsi="Cambria Math"/>
                <w:lang w:val="en-US"/>
              </w:rPr>
              <m:t>-1-</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r>
              <w:rPr>
                <w:rFonts w:ascii="Cambria Math" w:hAnsi="Cambria Math"/>
                <w:lang w:val="en-US"/>
              </w:rPr>
              <m:t>]</m:t>
            </m:r>
          </m:e>
        </m:d>
      </m:oMath>
      <w:r w:rsidR="00A5304A" w:rsidRPr="00A5304A">
        <w:rPr>
          <w:i/>
          <w:iCs/>
          <w:lang w:val="en-US"/>
        </w:rPr>
        <w:t xml:space="preserve">, </w:t>
      </w:r>
    </w:p>
    <w:p w14:paraId="295B0882" w14:textId="1D3F3AE3" w:rsidR="00A5304A" w:rsidRPr="00A5304A" w:rsidRDefault="00A5304A" w:rsidP="00A5304A">
      <w:pPr>
        <w:ind w:left="284"/>
        <w:rPr>
          <w:i/>
          <w:iCs/>
          <w:lang w:val="en-US"/>
        </w:rPr>
      </w:pPr>
      <w:r w:rsidRPr="00A5304A">
        <w:rPr>
          <w:i/>
          <w:iCs/>
          <w:lang w:val="en-US"/>
        </w:rPr>
        <w:t xml:space="preserve">where </w:t>
      </w:r>
      <m:oMath>
        <m:sSubSup>
          <m:sSubSupPr>
            <m:ctrlPr>
              <w:rPr>
                <w:rFonts w:ascii="Cambria Math" w:hAnsi="Cambria Math"/>
                <w:i/>
                <w:iCs/>
                <w:lang w:val="en-US"/>
              </w:rPr>
            </m:ctrlPr>
          </m:sSubSupPr>
          <m:e>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min</m:t>
                </m:r>
              </m:sup>
            </m:sSubSup>
            <m:r>
              <w:rPr>
                <w:rFonts w:ascii="Cambria Math" w:hAnsi="Cambria Math"/>
                <w:lang w:val="en-US"/>
              </w:rPr>
              <m:t>, T</m:t>
            </m:r>
          </m:e>
          <m:sub>
            <m:r>
              <w:rPr>
                <w:rFonts w:ascii="Cambria Math" w:hAnsi="Cambria Math"/>
                <w:lang w:val="en-US"/>
              </w:rPr>
              <m:t>TA,terrestrial</m:t>
            </m:r>
          </m:sub>
          <m:sup>
            <m:r>
              <w:rPr>
                <w:rFonts w:ascii="Cambria Math" w:hAnsi="Cambria Math"/>
                <w:lang w:val="en-US"/>
              </w:rPr>
              <m:t>max</m:t>
            </m:r>
          </m:sup>
        </m:sSubSup>
      </m:oMath>
      <w:r w:rsidRPr="00A5304A">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Pr="00A5304A">
        <w:rPr>
          <w:i/>
          <w:iCs/>
          <w:lang w:val="en-US"/>
        </w:rPr>
        <w:t>are defined in the specifications, and [.] denotes a quantization to appropriate slot/subframe/RU units.</w:t>
      </w:r>
    </w:p>
    <w:p w14:paraId="449077F5" w14:textId="77777777" w:rsidR="00DC1BE7" w:rsidRDefault="00DC1BE7">
      <w:pPr>
        <w:rPr>
          <w:lang w:eastAsia="zh-CN"/>
        </w:rPr>
      </w:pPr>
    </w:p>
    <w:p w14:paraId="53EA1C56" w14:textId="76E936CC" w:rsidR="00DC1BE7" w:rsidRDefault="00DC1BE7">
      <w:pPr>
        <w:rPr>
          <w:lang w:eastAsia="zh-CN"/>
        </w:rPr>
      </w:pPr>
    </w:p>
    <w:p w14:paraId="79CF33AF" w14:textId="00DE275E" w:rsidR="00A5304A" w:rsidRPr="00A5304A" w:rsidRDefault="00A5304A" w:rsidP="00A5304A">
      <w:pPr>
        <w:rPr>
          <w:i/>
          <w:iCs/>
          <w:lang w:eastAsia="zh-CN"/>
        </w:rPr>
      </w:pPr>
      <w:r w:rsidRPr="00A5304A">
        <w:rPr>
          <w:b/>
          <w:bCs/>
          <w:i/>
          <w:iCs/>
          <w:highlight w:val="yellow"/>
          <w:lang w:eastAsia="zh-CN"/>
        </w:rPr>
        <w:t>FL recommendation 4.1c</w:t>
      </w:r>
      <w:r w:rsidRPr="00A5304A">
        <w:rPr>
          <w:b/>
          <w:bCs/>
          <w:i/>
          <w:iCs/>
          <w:lang w:eastAsia="zh-CN"/>
        </w:rPr>
        <w:t xml:space="preserve">: </w:t>
      </w:r>
      <w:r w:rsidRPr="00A5304A">
        <w:rPr>
          <w:i/>
          <w:iCs/>
          <w:lang w:eastAsia="zh-CN"/>
        </w:rPr>
        <w:t>Support the following for “minimum processing time” to process a downlink reception, before transmitting an associated uplink that may be triggered by the downlink reception for NPDCCH/PDCCH triggering NPDCCH/PDCCH-ordered NPRACH/PRACH for NB-IoT/eMTC:</w:t>
      </w:r>
    </w:p>
    <w:p w14:paraId="4C232911" w14:textId="77777777" w:rsidR="00A5304A" w:rsidRPr="00A5304A" w:rsidRDefault="00A5304A" w:rsidP="00A5304A">
      <w:pPr>
        <w:ind w:left="284"/>
        <w:rPr>
          <w:i/>
          <w:iCs/>
          <w:lang w:val="en-US"/>
        </w:rPr>
      </w:pPr>
      <w:r w:rsidRPr="00A5304A">
        <w:rPr>
          <w:i/>
          <w:iCs/>
          <w:lang w:val="en-US"/>
        </w:rPr>
        <w:t>For NB-IoT over NTN, for a NPDCCH triggering a “PDCCH order” based NPRACH, the following condition must be satisfied, for the UE to be required to transmit the NPRACH:</w:t>
      </w:r>
    </w:p>
    <w:p w14:paraId="7BEB5726" w14:textId="49B35E56" w:rsidR="00A5304A" w:rsidRPr="00A5304A" w:rsidRDefault="00D04EE3" w:rsidP="00A5304A">
      <w:pPr>
        <w:tabs>
          <w:tab w:val="num" w:pos="360"/>
        </w:tabs>
        <w:ind w:left="284"/>
        <w:rPr>
          <w:i/>
          <w:iCs/>
          <w:lang w:val="en-US"/>
        </w:rPr>
      </w:pP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2</m:t>
                </m:r>
              </m:sub>
            </m:sSub>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e>
        </m:d>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proc,terrestrial</m:t>
            </m:r>
          </m:sub>
          <m:sup>
            <m:r>
              <w:rPr>
                <w:rFonts w:ascii="Cambria Math" w:hAnsi="Cambria Math"/>
                <w:lang w:val="en-US"/>
              </w:rPr>
              <m:t>min</m:t>
            </m:r>
          </m:sup>
        </m:sSubSup>
        <m:r>
          <w:rPr>
            <w:rFonts w:ascii="Cambria Math" w:hAnsi="Cambria Math"/>
            <w:lang w:val="en-US"/>
          </w:rPr>
          <m:t> </m:t>
        </m:r>
        <m:d>
          <m:dPr>
            <m:begChr m:val="{"/>
            <m:endChr m:val="}"/>
            <m:ctrlPr>
              <w:rPr>
                <w:rFonts w:ascii="Cambria Math" w:hAnsi="Cambria Math"/>
                <w:i/>
                <w:iCs/>
                <w:lang w:val="en-US"/>
              </w:rPr>
            </m:ctrlPr>
          </m:dPr>
          <m:e>
            <m:r>
              <w:rPr>
                <w:rFonts w:ascii="Cambria Math" w:hAnsi="Cambria Math"/>
                <w:lang w:val="en-US"/>
              </w:rPr>
              <m:t> =</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2</m:t>
                </m:r>
              </m:sub>
              <m:sup>
                <m:r>
                  <w:rPr>
                    <w:rFonts w:ascii="Cambria Math" w:hAnsi="Cambria Math"/>
                    <w:lang w:val="en-US"/>
                  </w:rPr>
                  <m:t>min</m:t>
                </m:r>
              </m:sup>
            </m:sSubSup>
            <m:r>
              <w:rPr>
                <w:rFonts w:ascii="Cambria Math" w:hAnsi="Cambria Math"/>
                <w:lang w:val="en-US"/>
              </w:rPr>
              <m:t>-1-</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r>
              <w:rPr>
                <w:rFonts w:ascii="Cambria Math" w:hAnsi="Cambria Math"/>
                <w:lang w:val="en-US"/>
              </w:rPr>
              <m:t>]</m:t>
            </m:r>
          </m:e>
        </m:d>
      </m:oMath>
      <w:r w:rsidR="00A5304A" w:rsidRPr="00A5304A">
        <w:rPr>
          <w:i/>
          <w:iCs/>
          <w:lang w:val="en-US"/>
        </w:rPr>
        <w:t xml:space="preserve">, </w:t>
      </w:r>
    </w:p>
    <w:p w14:paraId="0E7B552D" w14:textId="5FE43FA9" w:rsidR="00A5304A" w:rsidRPr="00A5304A" w:rsidRDefault="00A5304A" w:rsidP="00A5304A">
      <w:pPr>
        <w:ind w:left="284"/>
        <w:rPr>
          <w:i/>
          <w:iCs/>
          <w:lang w:val="en-US"/>
        </w:rPr>
      </w:pPr>
      <w:r w:rsidRPr="00A5304A">
        <w:rPr>
          <w:i/>
          <w:iCs/>
          <w:lang w:val="en-US"/>
        </w:rPr>
        <w:t xml:space="preserve">where </w:t>
      </w: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2</m:t>
            </m:r>
          </m:sub>
          <m:sup>
            <m:r>
              <w:rPr>
                <w:rFonts w:ascii="Cambria Math" w:hAnsi="Cambria Math"/>
                <w:lang w:val="en-US"/>
              </w:rPr>
              <m:t>min</m:t>
            </m:r>
          </m:sup>
        </m:sSubSup>
        <m:r>
          <w:rPr>
            <w:rFonts w:ascii="Cambria Math" w:hAnsi="Cambria Math"/>
            <w:lang w:val="en-US"/>
          </w:rPr>
          <m:t xml:space="preserve">, </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oMath>
      <w:r w:rsidRPr="00A5304A">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Pr="00A5304A">
        <w:rPr>
          <w:i/>
          <w:iCs/>
          <w:lang w:val="en-US"/>
        </w:rPr>
        <w:t>are defined in the specifications, and [.] denotes a quantization to appropriate slot/subframe/RU units.</w:t>
      </w:r>
    </w:p>
    <w:p w14:paraId="6BE82BBD" w14:textId="1814539E" w:rsidR="00A5304A" w:rsidRDefault="00A5304A">
      <w:pPr>
        <w:rPr>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5304A" w14:paraId="4B604F61"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1226125" w14:textId="77777777" w:rsidR="00A5304A" w:rsidRDefault="00A5304A">
            <w:pPr>
              <w:snapToGrid w:val="0"/>
              <w:spacing w:after="0"/>
              <w:jc w:val="center"/>
            </w:pPr>
            <w:r>
              <w:t>Companies</w:t>
            </w:r>
          </w:p>
        </w:tc>
        <w:tc>
          <w:tcPr>
            <w:tcW w:w="8080" w:type="dxa"/>
            <w:tcBorders>
              <w:top w:val="single" w:sz="4" w:space="0" w:color="auto"/>
              <w:left w:val="single" w:sz="4" w:space="0" w:color="auto"/>
              <w:bottom w:val="single" w:sz="4" w:space="0" w:color="auto"/>
              <w:right w:val="single" w:sz="4" w:space="0" w:color="auto"/>
            </w:tcBorders>
            <w:vAlign w:val="center"/>
            <w:hideMark/>
          </w:tcPr>
          <w:p w14:paraId="1EF580F1" w14:textId="77777777" w:rsidR="00A5304A" w:rsidRDefault="00A5304A">
            <w:pPr>
              <w:snapToGrid w:val="0"/>
              <w:spacing w:after="0"/>
              <w:jc w:val="center"/>
            </w:pPr>
            <w:r>
              <w:t>Comments</w:t>
            </w:r>
          </w:p>
        </w:tc>
      </w:tr>
      <w:tr w:rsidR="00A5304A" w14:paraId="01C97290"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48D21990" w14:textId="329D4B6C" w:rsidR="00A5304A" w:rsidRDefault="00E96F96">
            <w:pPr>
              <w:snapToGrid w:val="0"/>
              <w:spacing w:after="0"/>
              <w:rPr>
                <w:lang w:eastAsia="zh-CN"/>
              </w:rPr>
            </w:pPr>
            <w:r>
              <w:rPr>
                <w:lang w:eastAsia="zh-CN"/>
              </w:rPr>
              <w:t>Lenovo</w:t>
            </w:r>
          </w:p>
        </w:tc>
        <w:tc>
          <w:tcPr>
            <w:tcW w:w="8080" w:type="dxa"/>
            <w:tcBorders>
              <w:top w:val="single" w:sz="4" w:space="0" w:color="auto"/>
              <w:left w:val="single" w:sz="4" w:space="0" w:color="auto"/>
              <w:bottom w:val="single" w:sz="4" w:space="0" w:color="auto"/>
              <w:right w:val="single" w:sz="4" w:space="0" w:color="auto"/>
            </w:tcBorders>
            <w:vAlign w:val="center"/>
          </w:tcPr>
          <w:p w14:paraId="700FB8F1" w14:textId="77777777" w:rsidR="00E96F96" w:rsidRDefault="00E96F96" w:rsidP="00E96F96">
            <w:pPr>
              <w:rPr>
                <w:rFonts w:eastAsia="SimSun"/>
                <w:lang w:eastAsia="zh-CN"/>
              </w:rPr>
            </w:pPr>
            <w:r>
              <w:rPr>
                <w:rFonts w:eastAsia="SimSun"/>
                <w:lang w:eastAsia="zh-CN"/>
              </w:rPr>
              <w:t>I am wondering if the proposals are agreed, which spec do you expect to capture the agreement. How to define the following parameters? How to inform to UE if needed?</w:t>
            </w:r>
          </w:p>
          <w:p w14:paraId="2636E78E" w14:textId="77777777" w:rsidR="00E96F96" w:rsidRDefault="00D04EE3" w:rsidP="00E96F96">
            <w:pPr>
              <w:rPr>
                <w:rFonts w:eastAsia="SimSun"/>
                <w:lang w:eastAsia="zh-CN"/>
              </w:rPr>
            </w:pPr>
            <m:oMath>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oMath>
            <w:r w:rsidR="00E96F96">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00E96F96">
              <w:rPr>
                <w:i/>
                <w:iCs/>
                <w:lang w:val="en-US"/>
              </w:rPr>
              <w:t>are defined in the specifications</w:t>
            </w:r>
          </w:p>
          <w:p w14:paraId="3F2B78E3" w14:textId="235E0755" w:rsidR="00A5304A" w:rsidRDefault="00E96F96" w:rsidP="00E96F96">
            <w:r>
              <w:rPr>
                <w:rFonts w:eastAsia="SimSun"/>
                <w:lang w:eastAsia="zh-CN"/>
              </w:rPr>
              <w:t xml:space="preserve">Consider the </w:t>
            </w:r>
            <w:proofErr w:type="spellStart"/>
            <w:r>
              <w:rPr>
                <w:rFonts w:eastAsia="SimSun"/>
                <w:lang w:eastAsia="zh-CN"/>
              </w:rPr>
              <w:t>eMTC</w:t>
            </w:r>
            <w:proofErr w:type="spellEnd"/>
            <w:r>
              <w:rPr>
                <w:rFonts w:eastAsia="SimSun"/>
                <w:lang w:eastAsia="zh-CN"/>
              </w:rPr>
              <w:t>/</w:t>
            </w:r>
            <w:proofErr w:type="spellStart"/>
            <w:r>
              <w:rPr>
                <w:rFonts w:eastAsia="SimSun"/>
                <w:lang w:eastAsia="zh-CN"/>
              </w:rPr>
              <w:t>NBIoT</w:t>
            </w:r>
            <w:proofErr w:type="spellEnd"/>
            <w:r>
              <w:rPr>
                <w:rFonts w:eastAsia="SimSun"/>
                <w:lang w:eastAsia="zh-CN"/>
              </w:rPr>
              <w:t xml:space="preserve"> is not delay sensitive system, it can be implemented by </w:t>
            </w:r>
            <w:proofErr w:type="gramStart"/>
            <w:r>
              <w:rPr>
                <w:rFonts w:eastAsia="SimSun"/>
                <w:lang w:eastAsia="zh-CN"/>
              </w:rPr>
              <w:t>eNB.(</w:t>
            </w:r>
            <w:proofErr w:type="gramEnd"/>
            <w:r>
              <w:rPr>
                <w:rFonts w:eastAsia="SimSun"/>
                <w:lang w:eastAsia="zh-CN"/>
              </w:rPr>
              <w:t>e.g., configure proper Koffset).</w:t>
            </w:r>
          </w:p>
        </w:tc>
      </w:tr>
      <w:tr w:rsidR="00A5304A" w14:paraId="48EBE7FD"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283CA67A" w14:textId="0A6B6CDB" w:rsidR="00A5304A" w:rsidRDefault="000622A3">
            <w:pPr>
              <w:snapToGrid w:val="0"/>
              <w:spacing w:after="0"/>
              <w:rPr>
                <w:rFonts w:eastAsiaTheme="minorEastAsia"/>
                <w:lang w:eastAsia="zh-CN"/>
              </w:rPr>
            </w:pPr>
            <w:r>
              <w:rPr>
                <w:rFonts w:eastAsiaTheme="minorEastAsia"/>
                <w:lang w:eastAsia="zh-CN"/>
              </w:rPr>
              <w:t>Ericsson</w:t>
            </w:r>
          </w:p>
        </w:tc>
        <w:tc>
          <w:tcPr>
            <w:tcW w:w="8080" w:type="dxa"/>
            <w:tcBorders>
              <w:top w:val="single" w:sz="4" w:space="0" w:color="auto"/>
              <w:left w:val="single" w:sz="4" w:space="0" w:color="auto"/>
              <w:bottom w:val="single" w:sz="4" w:space="0" w:color="auto"/>
              <w:right w:val="single" w:sz="4" w:space="0" w:color="auto"/>
            </w:tcBorders>
            <w:vAlign w:val="center"/>
          </w:tcPr>
          <w:p w14:paraId="39CB5796" w14:textId="4095C690" w:rsidR="00A5304A" w:rsidRDefault="000622A3">
            <w:pPr>
              <w:rPr>
                <w:lang w:eastAsia="zh-CN"/>
              </w:rPr>
            </w:pPr>
            <w:r>
              <w:rPr>
                <w:lang w:eastAsia="zh-CN"/>
              </w:rPr>
              <w:t>Agree with FL recommendation that UE’s processing time be respected. However, it is not clear if a spec change is necessary. Why would the network configure a small</w:t>
            </w:r>
            <w:r w:rsidR="00223AE4">
              <w:rPr>
                <w:lang w:eastAsia="zh-CN"/>
              </w:rPr>
              <w:t>er-than-required</w:t>
            </w:r>
            <w:r>
              <w:rPr>
                <w:lang w:eastAsia="zh-CN"/>
              </w:rPr>
              <w:t xml:space="preserve"> </w:t>
            </w:r>
            <w:proofErr w:type="spellStart"/>
            <w:r>
              <w:rPr>
                <w:lang w:eastAsia="zh-CN"/>
              </w:rPr>
              <w:t>Koffset</w:t>
            </w:r>
            <w:proofErr w:type="spellEnd"/>
            <w:r>
              <w:rPr>
                <w:lang w:eastAsia="zh-CN"/>
              </w:rPr>
              <w:t>?</w:t>
            </w:r>
          </w:p>
        </w:tc>
      </w:tr>
      <w:tr w:rsidR="00A5304A" w14:paraId="119B9C64"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D2FAE3A" w14:textId="7C2FF528" w:rsidR="00A5304A" w:rsidRPr="00C52EB5" w:rsidRDefault="00C52EB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tcBorders>
              <w:top w:val="single" w:sz="4" w:space="0" w:color="auto"/>
              <w:left w:val="single" w:sz="4" w:space="0" w:color="auto"/>
              <w:bottom w:val="single" w:sz="4" w:space="0" w:color="auto"/>
              <w:right w:val="single" w:sz="4" w:space="0" w:color="auto"/>
            </w:tcBorders>
            <w:vAlign w:val="center"/>
          </w:tcPr>
          <w:p w14:paraId="493BAE54" w14:textId="4317BD94" w:rsidR="00A5304A" w:rsidRPr="00C52EB5" w:rsidRDefault="00C52EB5">
            <w:pPr>
              <w:rPr>
                <w:rFonts w:eastAsiaTheme="minorEastAsia"/>
                <w:lang w:eastAsia="zh-CN"/>
              </w:rPr>
            </w:pPr>
            <w:r>
              <w:rPr>
                <w:rFonts w:eastAsiaTheme="minorEastAsia" w:hint="eastAsia"/>
                <w:lang w:eastAsia="zh-CN"/>
              </w:rPr>
              <w:t>W</w:t>
            </w:r>
            <w:r>
              <w:rPr>
                <w:rFonts w:eastAsiaTheme="minorEastAsia"/>
                <w:lang w:eastAsia="zh-CN"/>
              </w:rPr>
              <w:t xml:space="preserve">e fully agree with Ericsson. The </w:t>
            </w:r>
            <w:proofErr w:type="spellStart"/>
            <w:r>
              <w:rPr>
                <w:rFonts w:eastAsiaTheme="minorEastAsia"/>
                <w:lang w:eastAsia="zh-CN"/>
              </w:rPr>
              <w:t>Koffset</w:t>
            </w:r>
            <w:proofErr w:type="spellEnd"/>
            <w:r>
              <w:rPr>
                <w:rFonts w:eastAsiaTheme="minorEastAsia"/>
                <w:lang w:eastAsia="zh-CN"/>
              </w:rPr>
              <w:t xml:space="preserve"> was introduced to handle the impact of large TA. </w:t>
            </w:r>
            <w:r w:rsidR="0030668E">
              <w:rPr>
                <w:lang w:eastAsia="zh-CN"/>
              </w:rPr>
              <w:t xml:space="preserve">The value of </w:t>
            </w:r>
            <w:proofErr w:type="spellStart"/>
            <w:r w:rsidR="0030668E">
              <w:rPr>
                <w:lang w:eastAsia="zh-CN"/>
              </w:rPr>
              <w:t>Koffset</w:t>
            </w:r>
            <w:proofErr w:type="spellEnd"/>
            <w:r w:rsidR="0030668E">
              <w:rPr>
                <w:lang w:eastAsia="zh-CN"/>
              </w:rPr>
              <w:t xml:space="preserve"> can be properly determined by </w:t>
            </w:r>
            <w:proofErr w:type="spellStart"/>
            <w:r w:rsidR="0030668E">
              <w:rPr>
                <w:lang w:eastAsia="zh-CN"/>
              </w:rPr>
              <w:t>eNB</w:t>
            </w:r>
            <w:proofErr w:type="spellEnd"/>
            <w:r w:rsidR="0030668E">
              <w:rPr>
                <w:lang w:eastAsia="zh-CN"/>
              </w:rPr>
              <w:t xml:space="preserve"> and no need to specify the restriction.</w:t>
            </w:r>
          </w:p>
        </w:tc>
      </w:tr>
      <w:tr w:rsidR="000843A0" w14:paraId="7289E868"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9CB73EF" w14:textId="1DF54EC7" w:rsidR="000843A0" w:rsidRDefault="000843A0" w:rsidP="000843A0">
            <w:pPr>
              <w:snapToGrid w:val="0"/>
              <w:spacing w:after="0"/>
              <w:rPr>
                <w:rFonts w:eastAsiaTheme="minorEastAsia"/>
                <w:lang w:eastAsia="zh-CN"/>
              </w:rPr>
            </w:pPr>
            <w:proofErr w:type="spellStart"/>
            <w:r w:rsidRPr="72804E68">
              <w:rPr>
                <w:lang w:eastAsia="zh-CN"/>
              </w:rPr>
              <w:t>Noika</w:t>
            </w:r>
            <w:proofErr w:type="spellEnd"/>
            <w:r w:rsidRPr="72804E68">
              <w:rPr>
                <w:lang w:eastAsia="zh-CN"/>
              </w:rPr>
              <w:t>, NSB</w:t>
            </w:r>
          </w:p>
        </w:tc>
        <w:tc>
          <w:tcPr>
            <w:tcW w:w="8080" w:type="dxa"/>
            <w:tcBorders>
              <w:top w:val="single" w:sz="4" w:space="0" w:color="auto"/>
              <w:left w:val="single" w:sz="4" w:space="0" w:color="auto"/>
              <w:bottom w:val="single" w:sz="4" w:space="0" w:color="auto"/>
              <w:right w:val="single" w:sz="4" w:space="0" w:color="auto"/>
            </w:tcBorders>
            <w:vAlign w:val="center"/>
          </w:tcPr>
          <w:p w14:paraId="2D2B55DE" w14:textId="66DBEF19" w:rsidR="000843A0" w:rsidRDefault="000843A0" w:rsidP="000843A0">
            <w:pPr>
              <w:rPr>
                <w:lang w:eastAsia="zh-CN"/>
              </w:rPr>
            </w:pPr>
            <w:r>
              <w:t xml:space="preserve">We have similar view as Ericsson and ZTE. ENB can select proper </w:t>
            </w:r>
            <w:proofErr w:type="spellStart"/>
            <w:r>
              <w:t>Koffset</w:t>
            </w:r>
            <w:proofErr w:type="spellEnd"/>
            <w:r>
              <w:t xml:space="preserve"> to remove the impact of large TA, thus it is network </w:t>
            </w:r>
            <w:proofErr w:type="spellStart"/>
            <w:r>
              <w:t>implemetnaion</w:t>
            </w:r>
            <w:proofErr w:type="spellEnd"/>
            <w:r>
              <w:t xml:space="preserve"> and no need to update specification for this issue.</w:t>
            </w:r>
          </w:p>
        </w:tc>
      </w:tr>
      <w:tr w:rsidR="000843A0" w14:paraId="5AB52254"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2FA5D7EA" w14:textId="449E7EAA" w:rsidR="000843A0" w:rsidRDefault="007C4AF2" w:rsidP="000843A0">
            <w:pPr>
              <w:snapToGrid w:val="0"/>
              <w:spacing w:after="0"/>
              <w:rPr>
                <w:lang w:val="en-US" w:eastAsia="zh-CN"/>
              </w:rPr>
            </w:pPr>
            <w:r>
              <w:rPr>
                <w:lang w:val="en-US" w:eastAsia="zh-CN"/>
              </w:rPr>
              <w:lastRenderedPageBreak/>
              <w:t>SONY</w:t>
            </w:r>
          </w:p>
        </w:tc>
        <w:tc>
          <w:tcPr>
            <w:tcW w:w="8080" w:type="dxa"/>
            <w:tcBorders>
              <w:top w:val="single" w:sz="4" w:space="0" w:color="auto"/>
              <w:left w:val="single" w:sz="4" w:space="0" w:color="auto"/>
              <w:bottom w:val="single" w:sz="4" w:space="0" w:color="auto"/>
              <w:right w:val="single" w:sz="4" w:space="0" w:color="auto"/>
            </w:tcBorders>
            <w:vAlign w:val="center"/>
          </w:tcPr>
          <w:p w14:paraId="2F838A74" w14:textId="77777777" w:rsidR="000843A0" w:rsidRDefault="007C4AF2" w:rsidP="000843A0">
            <w:pPr>
              <w:rPr>
                <w:lang w:eastAsia="zh-CN"/>
              </w:rPr>
            </w:pPr>
            <w:r>
              <w:rPr>
                <w:lang w:eastAsia="zh-CN"/>
              </w:rPr>
              <w:t xml:space="preserve">Agree with other companies that the network can </w:t>
            </w:r>
            <w:r w:rsidR="00D639F0">
              <w:rPr>
                <w:lang w:eastAsia="zh-CN"/>
              </w:rPr>
              <w:t xml:space="preserve">configure an appropriate </w:t>
            </w:r>
            <w:proofErr w:type="spellStart"/>
            <w:r w:rsidR="00D639F0">
              <w:rPr>
                <w:lang w:eastAsia="zh-CN"/>
              </w:rPr>
              <w:t>Koffset</w:t>
            </w:r>
            <w:proofErr w:type="spellEnd"/>
            <w:r w:rsidR="00D639F0">
              <w:rPr>
                <w:lang w:eastAsia="zh-CN"/>
              </w:rPr>
              <w:t xml:space="preserve">. The </w:t>
            </w:r>
            <w:proofErr w:type="spellStart"/>
            <w:r w:rsidR="00D639F0">
              <w:rPr>
                <w:lang w:eastAsia="zh-CN"/>
              </w:rPr>
              <w:t>eNB</w:t>
            </w:r>
            <w:proofErr w:type="spellEnd"/>
            <w:r w:rsidR="00D639F0">
              <w:rPr>
                <w:lang w:eastAsia="zh-CN"/>
              </w:rPr>
              <w:t xml:space="preserve"> should respect the UE’s processing times.</w:t>
            </w:r>
          </w:p>
          <w:p w14:paraId="085908D9" w14:textId="3FE16EE7" w:rsidR="009E09BA" w:rsidRDefault="009E09BA" w:rsidP="000843A0">
            <w:pPr>
              <w:rPr>
                <w:lang w:eastAsia="zh-CN"/>
              </w:rPr>
            </w:pPr>
            <w:r>
              <w:rPr>
                <w:lang w:eastAsia="zh-CN"/>
              </w:rPr>
              <w:t>[In 4.1b</w:t>
            </w:r>
            <w:r w:rsidR="00D04EE3">
              <w:rPr>
                <w:lang w:eastAsia="zh-CN"/>
              </w:rPr>
              <w:t>, it would be nice if we could replace “PUSH” with “PUSCH”]</w:t>
            </w:r>
          </w:p>
        </w:tc>
      </w:tr>
      <w:tr w:rsidR="000843A0" w14:paraId="4B1E0A9E"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71F2E4E0"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E4368F4" w14:textId="77777777" w:rsidR="000843A0" w:rsidRDefault="000843A0" w:rsidP="000843A0"/>
        </w:tc>
      </w:tr>
      <w:tr w:rsidR="000843A0" w14:paraId="69FEA421"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5A8A2F28"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23FF09F" w14:textId="77777777" w:rsidR="000843A0" w:rsidRDefault="000843A0" w:rsidP="000843A0"/>
        </w:tc>
      </w:tr>
      <w:tr w:rsidR="000843A0" w14:paraId="05040C63"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68EB71CF"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2B7A11A7" w14:textId="77777777" w:rsidR="000843A0" w:rsidRDefault="000843A0" w:rsidP="000843A0"/>
        </w:tc>
      </w:tr>
      <w:tr w:rsidR="000843A0" w14:paraId="227C5C1A"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075BE7D8"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6BD9ED95" w14:textId="77777777" w:rsidR="000843A0" w:rsidRDefault="000843A0" w:rsidP="000843A0"/>
        </w:tc>
      </w:tr>
      <w:tr w:rsidR="000843A0" w14:paraId="48CB2184"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7E60560"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6E68E2A1" w14:textId="77777777" w:rsidR="000843A0" w:rsidRDefault="000843A0" w:rsidP="000843A0"/>
        </w:tc>
      </w:tr>
      <w:tr w:rsidR="000843A0" w14:paraId="4DFFCED1"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3D19581"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A613375" w14:textId="77777777" w:rsidR="000843A0" w:rsidRDefault="000843A0" w:rsidP="000843A0"/>
        </w:tc>
      </w:tr>
      <w:tr w:rsidR="000843A0" w14:paraId="2E7AA28A"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69AE146B"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56524DAC" w14:textId="77777777" w:rsidR="000843A0" w:rsidRDefault="000843A0" w:rsidP="000843A0"/>
        </w:tc>
      </w:tr>
      <w:tr w:rsidR="000843A0" w14:paraId="5F6E9B2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1BA66EB"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570B1698" w14:textId="77777777" w:rsidR="000843A0" w:rsidRDefault="000843A0" w:rsidP="000843A0"/>
        </w:tc>
      </w:tr>
      <w:tr w:rsidR="000843A0" w14:paraId="4176C45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1435AD9"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0010057" w14:textId="77777777" w:rsidR="000843A0" w:rsidRDefault="000843A0" w:rsidP="000843A0"/>
        </w:tc>
      </w:tr>
      <w:tr w:rsidR="000843A0" w14:paraId="778480C0"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045773C3"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2A00B09F" w14:textId="77777777" w:rsidR="000843A0" w:rsidRDefault="000843A0" w:rsidP="000843A0"/>
        </w:tc>
      </w:tr>
      <w:tr w:rsidR="000843A0" w14:paraId="6F10E16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14C4069"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554FBCF5" w14:textId="77777777" w:rsidR="000843A0" w:rsidRDefault="000843A0" w:rsidP="000843A0"/>
        </w:tc>
      </w:tr>
      <w:tr w:rsidR="000843A0" w14:paraId="1D444823"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75A47440"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410CA5E0" w14:textId="77777777" w:rsidR="000843A0" w:rsidRDefault="000843A0" w:rsidP="000843A0"/>
        </w:tc>
      </w:tr>
      <w:tr w:rsidR="000843A0" w14:paraId="71FF0A55"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5F901E4F"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36E7B45C" w14:textId="77777777" w:rsidR="000843A0" w:rsidRDefault="000843A0" w:rsidP="000843A0"/>
        </w:tc>
      </w:tr>
      <w:tr w:rsidR="000843A0" w14:paraId="75497017"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603C41B5"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2B1AD13" w14:textId="77777777" w:rsidR="000843A0" w:rsidRDefault="000843A0" w:rsidP="000843A0"/>
        </w:tc>
      </w:tr>
      <w:tr w:rsidR="000843A0" w14:paraId="6DD643C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D5E196C"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3E020067" w14:textId="77777777" w:rsidR="000843A0" w:rsidRDefault="000843A0" w:rsidP="000843A0"/>
        </w:tc>
      </w:tr>
      <w:tr w:rsidR="000843A0" w14:paraId="6D3E3AF5"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4FF36417"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475399C0" w14:textId="77777777" w:rsidR="000843A0" w:rsidRDefault="000843A0" w:rsidP="000843A0"/>
        </w:tc>
      </w:tr>
    </w:tbl>
    <w:p w14:paraId="52E9FFAA" w14:textId="77777777" w:rsidR="00AD0E64" w:rsidRDefault="00AD0E64">
      <w:pPr>
        <w:rPr>
          <w:lang w:eastAsia="zh-CN"/>
        </w:rPr>
      </w:pPr>
    </w:p>
    <w:p w14:paraId="4443B753" w14:textId="6F87AC8B" w:rsidR="00EE1525" w:rsidRDefault="00EE1525"/>
    <w:p w14:paraId="1D99D81A" w14:textId="77777777" w:rsidR="00A16361" w:rsidRDefault="00A805D7">
      <w:pPr>
        <w:pStyle w:val="Heading1"/>
        <w:rPr>
          <w:lang w:val="en-US" w:eastAsia="ja-JP"/>
        </w:rPr>
      </w:pPr>
      <w:r>
        <w:rPr>
          <w:lang w:val="en-US" w:eastAsia="ja-JP"/>
        </w:rPr>
        <w:t>Conclusions</w:t>
      </w:r>
    </w:p>
    <w:p w14:paraId="32042FCB" w14:textId="77777777" w:rsidR="00A16361" w:rsidRDefault="00A805D7">
      <w:pPr>
        <w:snapToGrid w:val="0"/>
        <w:spacing w:beforeLines="50" w:before="120" w:afterLines="50" w:after="120"/>
        <w:rPr>
          <w:rFonts w:eastAsiaTheme="minorEastAsia"/>
          <w:lang w:eastAsia="zh-CN"/>
        </w:rPr>
      </w:pPr>
      <w:r>
        <w:rPr>
          <w:rFonts w:eastAsiaTheme="minorEastAsia"/>
          <w:lang w:eastAsia="zh-CN"/>
        </w:rPr>
        <w:t>TBA</w:t>
      </w:r>
    </w:p>
    <w:p w14:paraId="65AA4A1F" w14:textId="77777777" w:rsidR="00A16361" w:rsidRDefault="00A16361">
      <w:pPr>
        <w:snapToGrid w:val="0"/>
        <w:spacing w:beforeLines="50" w:before="120" w:afterLines="50" w:after="120"/>
        <w:rPr>
          <w:rFonts w:eastAsiaTheme="minorEastAsia"/>
          <w:lang w:eastAsia="zh-CN"/>
        </w:rPr>
      </w:pPr>
      <w:bookmarkStart w:id="11" w:name="_Hlk96193850"/>
    </w:p>
    <w:p w14:paraId="50EA7D20" w14:textId="77777777" w:rsidR="00A16361" w:rsidRDefault="00A805D7">
      <w:pPr>
        <w:pStyle w:val="Heading1"/>
        <w:rPr>
          <w:rFonts w:cs="Arial"/>
          <w:lang w:val="en-US"/>
        </w:rPr>
      </w:pPr>
      <w:r>
        <w:rPr>
          <w:rFonts w:cs="Arial"/>
          <w:lang w:val="en-US" w:eastAsia="zh-TW"/>
        </w:rPr>
        <w:t>References</w:t>
      </w:r>
    </w:p>
    <w:p w14:paraId="4ECF03C0" w14:textId="77777777" w:rsidR="00A16361" w:rsidRDefault="00A805D7">
      <w:pPr>
        <w:pStyle w:val="ListParagraph"/>
        <w:numPr>
          <w:ilvl w:val="0"/>
          <w:numId w:val="10"/>
        </w:numPr>
        <w:rPr>
          <w:lang w:val="en-US" w:eastAsia="zh-CN"/>
        </w:rPr>
      </w:pPr>
      <w:r>
        <w:rPr>
          <w:lang w:val="en-US" w:eastAsia="zh-CN"/>
        </w:rPr>
        <w:t>RP-211601, “NB-IoT/eMTC support for NTN”, MediaTek, RAN#92-e, May 2021</w:t>
      </w:r>
    </w:p>
    <w:p w14:paraId="58FB3155" w14:textId="48F1669C" w:rsidR="00A16361" w:rsidRDefault="00A805D7">
      <w:pPr>
        <w:pStyle w:val="ListParagraph"/>
        <w:numPr>
          <w:ilvl w:val="0"/>
          <w:numId w:val="10"/>
        </w:numPr>
        <w:rPr>
          <w:lang w:val="en-US" w:eastAsia="zh-CN"/>
        </w:rPr>
      </w:pPr>
      <w:r>
        <w:rPr>
          <w:lang w:val="en-US" w:eastAsia="zh-CN"/>
        </w:rPr>
        <w:t>R1-220</w:t>
      </w:r>
      <w:r w:rsidR="00492C0F">
        <w:rPr>
          <w:lang w:val="en-US" w:eastAsia="zh-CN"/>
        </w:rPr>
        <w:t xml:space="preserve">8831, </w:t>
      </w:r>
      <w:r>
        <w:rPr>
          <w:lang w:val="en-US" w:eastAsia="zh-CN"/>
        </w:rPr>
        <w:t>Draft CR on UE pre-compensation in segment</w:t>
      </w:r>
      <w:r w:rsidR="00492C0F">
        <w:rPr>
          <w:lang w:val="en-US" w:eastAsia="zh-CN"/>
        </w:rPr>
        <w:t xml:space="preserve">, </w:t>
      </w:r>
      <w:r>
        <w:rPr>
          <w:lang w:val="en-US" w:eastAsia="zh-CN"/>
        </w:rPr>
        <w:t>OPPO</w:t>
      </w:r>
      <w:r w:rsidR="00492C0F">
        <w:rPr>
          <w:lang w:val="en-US" w:eastAsia="zh-CN"/>
        </w:rPr>
        <w:t>, RAN1#110-bis-e, October 2022</w:t>
      </w:r>
    </w:p>
    <w:p w14:paraId="20632CE7" w14:textId="6B26E44A" w:rsidR="00A16361" w:rsidRDefault="00A805D7">
      <w:pPr>
        <w:pStyle w:val="ListParagraph"/>
        <w:numPr>
          <w:ilvl w:val="0"/>
          <w:numId w:val="10"/>
        </w:numPr>
        <w:rPr>
          <w:lang w:val="en-US" w:eastAsia="zh-CN"/>
        </w:rPr>
      </w:pPr>
      <w:r>
        <w:rPr>
          <w:lang w:val="en-US" w:eastAsia="zh-CN"/>
        </w:rPr>
        <w:t>R1-220</w:t>
      </w:r>
      <w:r w:rsidR="00492C0F">
        <w:rPr>
          <w:lang w:val="en-US" w:eastAsia="zh-CN"/>
        </w:rPr>
        <w:t xml:space="preserve">89242, </w:t>
      </w:r>
      <w:r w:rsidR="00492C0F" w:rsidRPr="00492C0F">
        <w:rPr>
          <w:lang w:val="en-US" w:eastAsia="zh-CN"/>
        </w:rPr>
        <w:t>Draft CR on correction of IoT NTN with dropping in pre-compensation per segment in 36.213</w:t>
      </w:r>
      <w:r w:rsidR="00492C0F">
        <w:rPr>
          <w:lang w:val="en-US" w:eastAsia="zh-CN"/>
        </w:rPr>
        <w:t>,</w:t>
      </w:r>
      <w:r>
        <w:rPr>
          <w:lang w:val="en-US" w:eastAsia="zh-CN"/>
        </w:rPr>
        <w:tab/>
        <w:t>Nokia, Nokia Shanghai Bell</w:t>
      </w:r>
      <w:r w:rsidR="00492C0F">
        <w:rPr>
          <w:lang w:val="en-US" w:eastAsia="zh-CN"/>
        </w:rPr>
        <w:t>, RAN1#110-bis-e, October 2022</w:t>
      </w:r>
    </w:p>
    <w:p w14:paraId="17BE6DFE" w14:textId="777CFBA5" w:rsidR="00A16361" w:rsidRDefault="00A805D7">
      <w:pPr>
        <w:pStyle w:val="ListParagraph"/>
        <w:numPr>
          <w:ilvl w:val="0"/>
          <w:numId w:val="10"/>
        </w:numPr>
        <w:rPr>
          <w:lang w:val="en-US" w:eastAsia="zh-CN"/>
        </w:rPr>
      </w:pPr>
      <w:r>
        <w:rPr>
          <w:lang w:val="en-US" w:eastAsia="zh-CN"/>
        </w:rPr>
        <w:t>R1-220</w:t>
      </w:r>
      <w:r w:rsidR="00492C0F">
        <w:rPr>
          <w:lang w:val="en-US" w:eastAsia="zh-CN"/>
        </w:rPr>
        <w:t>9243</w:t>
      </w:r>
      <w:r>
        <w:rPr>
          <w:lang w:val="en-US" w:eastAsia="zh-CN"/>
        </w:rPr>
        <w:tab/>
        <w:t>Draft CR on correction of IoT NTN with dropping in pre-compensation per segment in 36.213</w:t>
      </w:r>
      <w:r>
        <w:rPr>
          <w:lang w:val="en-US" w:eastAsia="zh-CN"/>
        </w:rPr>
        <w:tab/>
        <w:t>Nokia, Nokia Shanghai Bell</w:t>
      </w:r>
    </w:p>
    <w:p w14:paraId="76C2738F" w14:textId="040C7023" w:rsidR="00492C0F" w:rsidRPr="00492C0F" w:rsidRDefault="00492C0F" w:rsidP="00492C0F">
      <w:pPr>
        <w:pStyle w:val="ListParagraph"/>
        <w:numPr>
          <w:ilvl w:val="0"/>
          <w:numId w:val="10"/>
        </w:numPr>
        <w:tabs>
          <w:tab w:val="num" w:pos="360"/>
        </w:tabs>
        <w:rPr>
          <w:lang w:val="en-US" w:eastAsia="zh-CN"/>
        </w:rPr>
      </w:pPr>
      <w:r w:rsidRPr="00492C0F">
        <w:rPr>
          <w:lang w:val="en-US" w:eastAsia="zh-CN"/>
        </w:rPr>
        <w:t>R1-220924</w:t>
      </w:r>
      <w:r>
        <w:rPr>
          <w:lang w:val="en-US" w:eastAsia="zh-CN"/>
        </w:rPr>
        <w:t>4</w:t>
      </w:r>
      <w:r w:rsidRPr="00492C0F">
        <w:rPr>
          <w:lang w:val="en-US" w:eastAsia="zh-CN"/>
        </w:rPr>
        <w:t>, Maintenance on NB-IoT/eMTC support for Non-Terrestrial Network, ,</w:t>
      </w:r>
      <w:r w:rsidRPr="00492C0F">
        <w:rPr>
          <w:lang w:val="en-US" w:eastAsia="zh-CN"/>
        </w:rPr>
        <w:tab/>
        <w:t>Nokia, Nokia Shanghai Bell, RAN1#110-bis-e, October 2022</w:t>
      </w:r>
    </w:p>
    <w:p w14:paraId="49E5878B" w14:textId="2E75F021" w:rsidR="00492C0F" w:rsidRPr="00492C0F" w:rsidRDefault="00492C0F" w:rsidP="00492C0F">
      <w:pPr>
        <w:pStyle w:val="ListParagraph"/>
        <w:numPr>
          <w:ilvl w:val="0"/>
          <w:numId w:val="10"/>
        </w:numPr>
        <w:tabs>
          <w:tab w:val="num" w:pos="360"/>
        </w:tabs>
        <w:rPr>
          <w:lang w:val="en-US" w:eastAsia="zh-CN"/>
        </w:rPr>
      </w:pPr>
      <w:r w:rsidRPr="00492C0F">
        <w:rPr>
          <w:lang w:val="en-US" w:eastAsia="zh-CN"/>
        </w:rPr>
        <w:t>R1-22</w:t>
      </w:r>
      <w:r w:rsidR="00E004A3">
        <w:rPr>
          <w:lang w:val="en-US" w:eastAsia="zh-CN"/>
        </w:rPr>
        <w:t>10183</w:t>
      </w:r>
      <w:r w:rsidRPr="00492C0F">
        <w:rPr>
          <w:lang w:val="en-US" w:eastAsia="zh-CN"/>
        </w:rPr>
        <w:t>, Draft CR on correction of IoT NTN with segment gap in 36.211,</w:t>
      </w:r>
      <w:r w:rsidRPr="00492C0F">
        <w:rPr>
          <w:lang w:val="en-US" w:eastAsia="zh-CN"/>
        </w:rPr>
        <w:tab/>
        <w:t>Nokia, Nokia Shanghai Bell, RAN1#110-bis-e, October 2022</w:t>
      </w:r>
    </w:p>
    <w:p w14:paraId="237ACA53" w14:textId="08E92FEB" w:rsidR="00E004A3" w:rsidRDefault="00E004A3" w:rsidP="00E004A3">
      <w:pPr>
        <w:pStyle w:val="ListParagraph"/>
        <w:numPr>
          <w:ilvl w:val="0"/>
          <w:numId w:val="10"/>
        </w:numPr>
        <w:rPr>
          <w:lang w:val="en-US" w:eastAsia="zh-CN"/>
        </w:rPr>
      </w:pPr>
      <w:r w:rsidRPr="00E004A3">
        <w:rPr>
          <w:lang w:val="en-US" w:eastAsia="zh-CN"/>
        </w:rPr>
        <w:lastRenderedPageBreak/>
        <w:t>R1-220</w:t>
      </w:r>
      <w:r>
        <w:rPr>
          <w:lang w:val="en-US" w:eastAsia="zh-CN"/>
        </w:rPr>
        <w:t>9650,</w:t>
      </w:r>
      <w:r w:rsidRPr="00E004A3">
        <w:rPr>
          <w:lang w:val="en-US" w:eastAsia="zh-CN"/>
        </w:rPr>
        <w:tab/>
        <w:t>On SIB accumulation and Timing relationship enhancements in IoT NTN</w:t>
      </w:r>
      <w:r>
        <w:rPr>
          <w:lang w:val="en-US" w:eastAsia="zh-CN"/>
        </w:rPr>
        <w:t>,</w:t>
      </w:r>
      <w:r w:rsidRPr="00E004A3">
        <w:rPr>
          <w:lang w:val="en-US" w:eastAsia="zh-CN"/>
        </w:rPr>
        <w:tab/>
        <w:t>Ericsson</w:t>
      </w:r>
      <w:r>
        <w:rPr>
          <w:lang w:val="en-US" w:eastAsia="zh-CN"/>
        </w:rPr>
        <w:t>, RAN1#110-bis-e, October 2022</w:t>
      </w:r>
    </w:p>
    <w:p w14:paraId="74E011ED" w14:textId="011899ED" w:rsidR="00DF4C90" w:rsidRPr="00DF4C90" w:rsidRDefault="00DF4C90" w:rsidP="00DF4C90">
      <w:pPr>
        <w:pStyle w:val="ListParagraph"/>
        <w:numPr>
          <w:ilvl w:val="0"/>
          <w:numId w:val="10"/>
        </w:numPr>
        <w:rPr>
          <w:lang w:val="en-US" w:eastAsia="zh-CN"/>
        </w:rPr>
      </w:pPr>
      <w:r w:rsidRPr="00DF4C90">
        <w:rPr>
          <w:lang w:val="en-US" w:eastAsia="zh-CN"/>
        </w:rPr>
        <w:t>R1-2210020, Maintenance for IoT NTN, Lenovo, RAN1#110-bis-e, October 2022</w:t>
      </w:r>
    </w:p>
    <w:bookmarkEnd w:id="11"/>
    <w:p w14:paraId="7191873D" w14:textId="77777777" w:rsidR="00A16361" w:rsidRDefault="00A16361">
      <w:pPr>
        <w:rPr>
          <w:lang w:val="en-US" w:eastAsia="zh-TW"/>
        </w:rPr>
      </w:pPr>
    </w:p>
    <w:p w14:paraId="76FE2312" w14:textId="77777777" w:rsidR="00A16361" w:rsidRDefault="00A16361">
      <w:pPr>
        <w:rPr>
          <w:lang w:val="en-US" w:eastAsia="zh-TW"/>
        </w:rPr>
      </w:pPr>
    </w:p>
    <w:p w14:paraId="0E9469BF" w14:textId="77777777" w:rsidR="00A16361" w:rsidRDefault="00A805D7">
      <w:pPr>
        <w:pStyle w:val="Heading1"/>
        <w:rPr>
          <w:lang w:val="en-US" w:eastAsia="zh-TW"/>
        </w:rPr>
      </w:pPr>
      <w:r>
        <w:rPr>
          <w:lang w:val="en-US" w:eastAsia="zh-TW"/>
        </w:rPr>
        <w:t xml:space="preserve">Appendix </w:t>
      </w:r>
    </w:p>
    <w:p w14:paraId="6EA96FC5" w14:textId="77777777" w:rsidR="00A16361" w:rsidRDefault="00A805D7">
      <w:pPr>
        <w:rPr>
          <w:lang w:val="en-US" w:eastAsia="zh-TW"/>
        </w:rPr>
      </w:pPr>
      <w:r>
        <w:rPr>
          <w:lang w:val="en-US" w:eastAsia="zh-TW"/>
        </w:rPr>
        <w:t>In the Table below, company proposals for time and frequency synchronization are listed</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281C24D6" w14:textId="77777777">
        <w:trPr>
          <w:trHeight w:val="398"/>
          <w:jc w:val="center"/>
        </w:trPr>
        <w:tc>
          <w:tcPr>
            <w:tcW w:w="2547" w:type="dxa"/>
            <w:shd w:val="clear" w:color="auto" w:fill="C6D9F1" w:themeFill="text2" w:themeFillTint="33"/>
            <w:vAlign w:val="center"/>
          </w:tcPr>
          <w:p w14:paraId="7531B8EC" w14:textId="77777777" w:rsidR="00A16361" w:rsidRDefault="00A805D7">
            <w:pPr>
              <w:snapToGrid w:val="0"/>
              <w:spacing w:after="0"/>
              <w:jc w:val="center"/>
            </w:pPr>
            <w:r>
              <w:t>Contribution</w:t>
            </w:r>
          </w:p>
        </w:tc>
        <w:tc>
          <w:tcPr>
            <w:tcW w:w="8080" w:type="dxa"/>
            <w:shd w:val="clear" w:color="auto" w:fill="C6D9F1" w:themeFill="text2" w:themeFillTint="33"/>
            <w:vAlign w:val="center"/>
          </w:tcPr>
          <w:p w14:paraId="0F90265B" w14:textId="77777777" w:rsidR="00A16361" w:rsidRDefault="00A805D7">
            <w:pPr>
              <w:snapToGrid w:val="0"/>
              <w:spacing w:after="0"/>
              <w:jc w:val="center"/>
            </w:pPr>
            <w:r>
              <w:t>Observation/Proposals</w:t>
            </w:r>
          </w:p>
        </w:tc>
      </w:tr>
      <w:tr w:rsidR="00A16361" w14:paraId="7A249F05" w14:textId="77777777">
        <w:trPr>
          <w:trHeight w:val="398"/>
          <w:jc w:val="center"/>
        </w:trPr>
        <w:tc>
          <w:tcPr>
            <w:tcW w:w="2547" w:type="dxa"/>
            <w:shd w:val="clear" w:color="auto" w:fill="C6D9F1" w:themeFill="text2" w:themeFillTint="33"/>
            <w:vAlign w:val="center"/>
          </w:tcPr>
          <w:p w14:paraId="5ABDECEC" w14:textId="17D4E112" w:rsidR="00A16361" w:rsidRDefault="00E004A3">
            <w:pPr>
              <w:snapToGrid w:val="0"/>
              <w:spacing w:after="0"/>
              <w:rPr>
                <w:lang w:eastAsia="zh-CN"/>
              </w:rPr>
            </w:pPr>
            <w:r>
              <w:rPr>
                <w:color w:val="000000" w:themeColor="text1"/>
                <w:lang w:eastAsia="zh-CN"/>
              </w:rPr>
              <w:t>Nokia</w:t>
            </w:r>
            <w:r w:rsidR="00A805D7">
              <w:rPr>
                <w:color w:val="000000" w:themeColor="text1"/>
                <w:lang w:eastAsia="zh-CN"/>
              </w:rPr>
              <w:t xml:space="preserve"> (R1-220</w:t>
            </w:r>
            <w:r>
              <w:rPr>
                <w:color w:val="000000" w:themeColor="text1"/>
                <w:lang w:eastAsia="zh-CN"/>
              </w:rPr>
              <w:t>9244</w:t>
            </w:r>
            <w:r w:rsidR="00A805D7">
              <w:rPr>
                <w:color w:val="000000" w:themeColor="text1"/>
                <w:lang w:eastAsia="zh-CN"/>
              </w:rPr>
              <w:t>)</w:t>
            </w:r>
          </w:p>
        </w:tc>
        <w:tc>
          <w:tcPr>
            <w:tcW w:w="8080" w:type="dxa"/>
            <w:vAlign w:val="center"/>
          </w:tcPr>
          <w:p w14:paraId="751AF2D8" w14:textId="77777777" w:rsidR="00E004A3" w:rsidRPr="00F00E95" w:rsidRDefault="00E004A3" w:rsidP="00E004A3">
            <w:r w:rsidRPr="00F00E95">
              <w:t>Observation 1: Implicit indication of the Epoch time of assistance information in NTN SIB does not work, because the assistance information may not necessarily be updated every SI window.</w:t>
            </w:r>
          </w:p>
          <w:p w14:paraId="25E336C4" w14:textId="77777777" w:rsidR="00E004A3" w:rsidRPr="00F00E95" w:rsidRDefault="00E004A3" w:rsidP="00E004A3">
            <w:r w:rsidRPr="00F00E95">
              <w:t>Observation 2: eMTC UE may only apply sample dropping/insertion for segmented transmission of PRACH.</w:t>
            </w:r>
          </w:p>
          <w:p w14:paraId="18B8BF11" w14:textId="77777777" w:rsidR="00E004A3" w:rsidRPr="00F00E95" w:rsidRDefault="00E004A3" w:rsidP="00E004A3">
            <w:pPr>
              <w:spacing w:before="240"/>
            </w:pPr>
            <w:r w:rsidRPr="00F00E95">
              <w:t>Observation 3: The transmission for segmented uplink transmission is only needed when the timing advance of the next segment is longer than the previous segment.</w:t>
            </w:r>
          </w:p>
          <w:p w14:paraId="05E92681" w14:textId="26994D91" w:rsidR="00E004A3" w:rsidRPr="00F00E95" w:rsidRDefault="00E004A3" w:rsidP="00F00E95">
            <w:pPr>
              <w:spacing w:before="240"/>
            </w:pPr>
            <w:r w:rsidRPr="00F00E95">
              <w:t>Observation 4: If the transmission gap is applied, when the timing advance of the next segment is shorter than the previous, the decoding performance will decrease.</w:t>
            </w:r>
          </w:p>
          <w:p w14:paraId="5C76C5EE" w14:textId="77777777" w:rsidR="00E004A3" w:rsidRPr="00F00E95" w:rsidRDefault="00E004A3" w:rsidP="00E004A3">
            <w:r w:rsidRPr="00F00E95">
              <w:t xml:space="preserve">Proposal 1: Only explicit </w:t>
            </w:r>
            <w:proofErr w:type="spellStart"/>
            <w:r w:rsidRPr="00F00E95">
              <w:t>signaling</w:t>
            </w:r>
            <w:proofErr w:type="spellEnd"/>
            <w:r w:rsidRPr="00F00E95">
              <w:t xml:space="preserve"> of Epoch time for assistance information shall be specified for IoT NTN.</w:t>
            </w:r>
          </w:p>
          <w:p w14:paraId="53942C98" w14:textId="77777777" w:rsidR="00E004A3" w:rsidRPr="00F00E95" w:rsidRDefault="00E004A3" w:rsidP="00E004A3">
            <w:r w:rsidRPr="00F00E95">
              <w:t xml:space="preserve">Proposal 2: RAN1 send LS to RAN2 to update SIB31 description in RRC specification to make the </w:t>
            </w:r>
            <w:proofErr w:type="spellStart"/>
            <w:r w:rsidRPr="00F00E95">
              <w:t>epochTime</w:t>
            </w:r>
            <w:proofErr w:type="spellEnd"/>
            <w:r w:rsidRPr="00F00E95">
              <w:t xml:space="preserve"> a mandatory field.</w:t>
            </w:r>
          </w:p>
          <w:p w14:paraId="767F9869" w14:textId="77777777" w:rsidR="00E004A3" w:rsidRPr="00F00E95" w:rsidRDefault="00E004A3" w:rsidP="00E004A3">
            <w:r w:rsidRPr="00F00E95">
              <w:t xml:space="preserve">Proposal 3: RAN1 should add RRC </w:t>
            </w:r>
            <w:proofErr w:type="spellStart"/>
            <w:r w:rsidRPr="00F00E95">
              <w:t>signaling</w:t>
            </w:r>
            <w:proofErr w:type="spellEnd"/>
            <w:r w:rsidRPr="00F00E95">
              <w:t xml:space="preserve"> to configure segment size for UL </w:t>
            </w:r>
            <w:proofErr w:type="spellStart"/>
            <w:r w:rsidRPr="00F00E95">
              <w:t>precompensation</w:t>
            </w:r>
            <w:proofErr w:type="spellEnd"/>
            <w:r w:rsidRPr="00F00E95">
              <w:t xml:space="preserve"> in 36.213.</w:t>
            </w:r>
          </w:p>
          <w:p w14:paraId="1806E224" w14:textId="77777777" w:rsidR="00E004A3" w:rsidRPr="00F00E95" w:rsidRDefault="00E004A3" w:rsidP="00E004A3">
            <w:r w:rsidRPr="00F00E95">
              <w:t>Proposal 4: RAN1 to discuss NB-IoT UE segmented transmission of NPRACH, where network is not aware of the UE capability for dropping during segmented transmission.</w:t>
            </w:r>
          </w:p>
          <w:p w14:paraId="31613B17" w14:textId="62418AD1" w:rsidR="00A16361" w:rsidRPr="00F00E95" w:rsidRDefault="00E004A3" w:rsidP="00F00E95">
            <w:r w:rsidRPr="00F00E95">
              <w:t>Proposal 5: RAN1 to clarify that segmented uplink transmission gap is only applied when the timing advance of the next segment is longer than the timing advance of the previous, transmitted segment.</w:t>
            </w:r>
          </w:p>
        </w:tc>
      </w:tr>
      <w:tr w:rsidR="00A16361" w14:paraId="29598AD9" w14:textId="77777777">
        <w:trPr>
          <w:trHeight w:val="398"/>
          <w:jc w:val="center"/>
        </w:trPr>
        <w:tc>
          <w:tcPr>
            <w:tcW w:w="2547" w:type="dxa"/>
            <w:shd w:val="clear" w:color="auto" w:fill="C6D9F1" w:themeFill="text2" w:themeFillTint="33"/>
            <w:vAlign w:val="center"/>
          </w:tcPr>
          <w:p w14:paraId="3A706518" w14:textId="4F41E826" w:rsidR="00A16361" w:rsidRDefault="00A805D7">
            <w:pPr>
              <w:snapToGrid w:val="0"/>
              <w:spacing w:after="0"/>
            </w:pPr>
            <w:r>
              <w:t>Ericsson (R1-220</w:t>
            </w:r>
            <w:r w:rsidR="00E004A3">
              <w:t>9650</w:t>
            </w:r>
            <w:r>
              <w:t>)</w:t>
            </w:r>
          </w:p>
        </w:tc>
        <w:tc>
          <w:tcPr>
            <w:tcW w:w="8080" w:type="dxa"/>
            <w:vAlign w:val="center"/>
          </w:tcPr>
          <w:p w14:paraId="0937E608" w14:textId="56B63842" w:rsidR="00E004A3" w:rsidRPr="00F00E95" w:rsidRDefault="00E004A3" w:rsidP="00E004A3">
            <w:pPr>
              <w:pStyle w:val="BodyText"/>
              <w:rPr>
                <w:bCs/>
                <w:iCs/>
              </w:rPr>
            </w:pPr>
            <w:r w:rsidRPr="00F00E95">
              <w:rPr>
                <w:bCs/>
                <w:iCs/>
              </w:rPr>
              <w:t>Observation 1</w:t>
            </w:r>
            <w:r w:rsidRPr="00F00E95">
              <w:rPr>
                <w:bCs/>
                <w:iCs/>
              </w:rPr>
              <w:tab/>
            </w:r>
            <w:r w:rsidR="00F00E95">
              <w:rPr>
                <w:bCs/>
                <w:iCs/>
              </w:rPr>
              <w:t xml:space="preserve">: </w:t>
            </w:r>
            <w:r w:rsidRPr="00F00E95">
              <w:rPr>
                <w:bCs/>
                <w:iCs/>
              </w:rPr>
              <w:t>In eMTC/NB-IoT NTN, there are numerous configurations of the SI window periodicity and the validity timer duration for which the NTN SIB may remain unchanged over many SI windows and can therefore be accumulated.</w:t>
            </w:r>
          </w:p>
          <w:p w14:paraId="4080659F" w14:textId="27992B06" w:rsidR="00E004A3" w:rsidRPr="00F00E95" w:rsidRDefault="00E004A3" w:rsidP="00E004A3">
            <w:pPr>
              <w:pStyle w:val="BodyText"/>
              <w:rPr>
                <w:bCs/>
                <w:iCs/>
              </w:rPr>
            </w:pPr>
            <w:r w:rsidRPr="00F00E95">
              <w:rPr>
                <w:bCs/>
                <w:iCs/>
              </w:rPr>
              <w:t>Observation 2</w:t>
            </w:r>
            <w:r w:rsidR="00F00E95">
              <w:rPr>
                <w:bCs/>
                <w:iCs/>
              </w:rPr>
              <w:t xml:space="preserve">: </w:t>
            </w:r>
            <w:r w:rsidRPr="00F00E95">
              <w:rPr>
                <w:bCs/>
                <w:iCs/>
              </w:rPr>
              <w:t>NTN SIB may need to be updated much more frequently for LEO than for GEO.</w:t>
            </w:r>
          </w:p>
          <w:p w14:paraId="18C75EC1" w14:textId="6BDCC470" w:rsidR="00E004A3" w:rsidRPr="00F00E95" w:rsidRDefault="00E004A3" w:rsidP="00E004A3">
            <w:pPr>
              <w:pStyle w:val="BodyText"/>
              <w:rPr>
                <w:bCs/>
                <w:iCs/>
              </w:rPr>
            </w:pPr>
            <w:r w:rsidRPr="00F00E95">
              <w:rPr>
                <w:bCs/>
                <w:iCs/>
              </w:rPr>
              <w:t>Observation 3</w:t>
            </w:r>
            <w:r w:rsidR="00F00E95">
              <w:rPr>
                <w:bCs/>
                <w:iCs/>
              </w:rPr>
              <w:t xml:space="preserve">: </w:t>
            </w:r>
            <w:r w:rsidRPr="00F00E95">
              <w:rPr>
                <w:bCs/>
                <w:iCs/>
              </w:rPr>
              <w:tab/>
              <w:t>Without NTN SIB accumulation across SI windows, the network may need to configure longer SI windows to support a larger number of repetitions, resulting in a high signalling overhead.</w:t>
            </w:r>
          </w:p>
          <w:p w14:paraId="338ACB5C" w14:textId="4844D963" w:rsidR="00E004A3" w:rsidRPr="00F00E95" w:rsidRDefault="00E004A3" w:rsidP="00E004A3">
            <w:pPr>
              <w:pStyle w:val="BodyText"/>
              <w:rPr>
                <w:bCs/>
                <w:iCs/>
              </w:rPr>
            </w:pPr>
            <w:r w:rsidRPr="00F00E95">
              <w:rPr>
                <w:bCs/>
                <w:iCs/>
              </w:rPr>
              <w:t>Observation 4</w:t>
            </w:r>
            <w:r w:rsidR="00F00E95">
              <w:rPr>
                <w:bCs/>
                <w:iCs/>
              </w:rPr>
              <w:t xml:space="preserve">: </w:t>
            </w:r>
            <w:r w:rsidRPr="00F00E95">
              <w:rPr>
                <w:bCs/>
                <w:iCs/>
              </w:rPr>
              <w:t>For explicit epoch time indication, without introducing additional signalling, the epoch time indication range essentially limits the NTN SIB accumulation to shorter SI periodicities of up to 128 frames.</w:t>
            </w:r>
          </w:p>
          <w:p w14:paraId="6EA85991" w14:textId="0F68F327" w:rsidR="00E004A3" w:rsidRPr="00F00E95" w:rsidRDefault="00E004A3" w:rsidP="00E004A3">
            <w:pPr>
              <w:pStyle w:val="BodyText"/>
              <w:rPr>
                <w:bCs/>
                <w:iCs/>
              </w:rPr>
            </w:pPr>
            <w:r w:rsidRPr="00F00E95">
              <w:rPr>
                <w:bCs/>
                <w:iCs/>
              </w:rPr>
              <w:t>Observation 5</w:t>
            </w:r>
            <w:r w:rsidR="00F00E95">
              <w:rPr>
                <w:bCs/>
                <w:iCs/>
              </w:rPr>
              <w:t xml:space="preserve">: </w:t>
            </w:r>
            <w:r w:rsidRPr="00F00E95">
              <w:rPr>
                <w:bCs/>
                <w:iCs/>
              </w:rPr>
              <w:t>Depending on the SI periodicity, the UE may determine whether to accumulate the NTN SIB.</w:t>
            </w:r>
          </w:p>
          <w:p w14:paraId="2FAA2F50" w14:textId="7A9319C0" w:rsidR="00E004A3" w:rsidRPr="00F00E95" w:rsidRDefault="00E004A3" w:rsidP="00E004A3">
            <w:pPr>
              <w:pStyle w:val="BodyText"/>
              <w:rPr>
                <w:bCs/>
                <w:iCs/>
              </w:rPr>
            </w:pPr>
            <w:r w:rsidRPr="00F00E95">
              <w:rPr>
                <w:bCs/>
                <w:iCs/>
              </w:rPr>
              <w:t>Observation 6</w:t>
            </w:r>
            <w:r w:rsidRPr="00F00E95">
              <w:rPr>
                <w:bCs/>
                <w:iCs/>
              </w:rPr>
              <w:tab/>
            </w:r>
            <w:r w:rsidR="00F00E95">
              <w:rPr>
                <w:bCs/>
                <w:iCs/>
              </w:rPr>
              <w:t xml:space="preserve">: </w:t>
            </w:r>
            <w:r w:rsidRPr="00F00E95">
              <w:rPr>
                <w:bCs/>
                <w:iCs/>
              </w:rPr>
              <w:t xml:space="preserve">For explicit epoch time indication, introducing additional signalling can help extend the SIB accumulation to even larger SI periodicities and/or optimize the UE </w:t>
            </w:r>
            <w:proofErr w:type="spellStart"/>
            <w:r w:rsidRPr="00F00E95">
              <w:rPr>
                <w:bCs/>
                <w:iCs/>
              </w:rPr>
              <w:t>behavior</w:t>
            </w:r>
            <w:proofErr w:type="spellEnd"/>
            <w:r w:rsidRPr="00F00E95">
              <w:rPr>
                <w:bCs/>
                <w:iCs/>
              </w:rPr>
              <w:t xml:space="preserve"> regarding SIB accumulation.</w:t>
            </w:r>
          </w:p>
          <w:p w14:paraId="2EE5E721" w14:textId="67037049" w:rsidR="00E004A3" w:rsidRPr="00F00E95" w:rsidRDefault="00E004A3" w:rsidP="00E004A3">
            <w:pPr>
              <w:pStyle w:val="BodyText"/>
              <w:rPr>
                <w:bCs/>
                <w:iCs/>
              </w:rPr>
            </w:pPr>
            <w:r w:rsidRPr="00F00E95">
              <w:rPr>
                <w:bCs/>
                <w:iCs/>
              </w:rPr>
              <w:lastRenderedPageBreak/>
              <w:t>Proposal 1</w:t>
            </w:r>
            <w:r w:rsidRPr="00F00E95">
              <w:rPr>
                <w:bCs/>
                <w:iCs/>
              </w:rPr>
              <w:tab/>
            </w:r>
            <w:r w:rsidR="00F00E95">
              <w:rPr>
                <w:bCs/>
                <w:iCs/>
              </w:rPr>
              <w:t xml:space="preserve">: </w:t>
            </w:r>
            <w:r w:rsidRPr="00F00E95">
              <w:rPr>
                <w:bCs/>
                <w:iCs/>
              </w:rPr>
              <w:t>Network to optionally indicate if NTN SIB accumulation across SI windows is allowed or not.</w:t>
            </w:r>
          </w:p>
          <w:p w14:paraId="44E0B960" w14:textId="27214F94" w:rsidR="00E004A3" w:rsidRPr="00F00E95" w:rsidRDefault="00E004A3" w:rsidP="00E004A3">
            <w:pPr>
              <w:pStyle w:val="BodyText"/>
              <w:rPr>
                <w:bCs/>
                <w:iCs/>
              </w:rPr>
            </w:pPr>
            <w:r w:rsidRPr="00F00E95">
              <w:rPr>
                <w:bCs/>
                <w:iCs/>
              </w:rPr>
              <w:t>Proposal 2</w:t>
            </w:r>
            <w:r w:rsidRPr="00F00E95">
              <w:rPr>
                <w:bCs/>
                <w:iCs/>
              </w:rPr>
              <w:tab/>
            </w:r>
            <w:r w:rsidR="00F00E95">
              <w:rPr>
                <w:bCs/>
                <w:iCs/>
              </w:rPr>
              <w:t xml:space="preserve">: </w:t>
            </w:r>
            <w:r w:rsidRPr="00F00E95">
              <w:rPr>
                <w:bCs/>
                <w:iCs/>
              </w:rPr>
              <w:t>For eMTC NTN with explicit epoch time indication, without introducing additional signalling, support NTN SIB accumulation at least for the following SI periodicities: {8, 16, 32, 64,128} frames.</w:t>
            </w:r>
          </w:p>
          <w:p w14:paraId="7C347049" w14:textId="145489FA" w:rsidR="00E004A3" w:rsidRPr="00F00E95" w:rsidRDefault="00E004A3" w:rsidP="00E004A3">
            <w:pPr>
              <w:pStyle w:val="BodyText"/>
              <w:rPr>
                <w:bCs/>
                <w:iCs/>
              </w:rPr>
            </w:pPr>
            <w:r w:rsidRPr="00F00E95">
              <w:rPr>
                <w:bCs/>
                <w:iCs/>
              </w:rPr>
              <w:t>Proposal 3</w:t>
            </w:r>
            <w:r w:rsidR="00F00E95">
              <w:rPr>
                <w:bCs/>
                <w:iCs/>
              </w:rPr>
              <w:t xml:space="preserve">: </w:t>
            </w:r>
            <w:r w:rsidRPr="00F00E95">
              <w:rPr>
                <w:bCs/>
                <w:iCs/>
              </w:rPr>
              <w:t>For NB-IoT NTN with explicit epoch time indication, without introducing additional signalling, support NTN SIB accumulation at least for the following SI periodicities: {64,128} frames.</w:t>
            </w:r>
          </w:p>
          <w:p w14:paraId="0EDC0286" w14:textId="0A3DFB97" w:rsidR="00A16361" w:rsidRPr="00F00E95" w:rsidRDefault="00E004A3" w:rsidP="00E004A3">
            <w:pPr>
              <w:pStyle w:val="BodyText"/>
              <w:rPr>
                <w:bCs/>
                <w:iCs/>
              </w:rPr>
            </w:pPr>
            <w:r w:rsidRPr="00F00E95">
              <w:rPr>
                <w:bCs/>
                <w:iCs/>
              </w:rPr>
              <w:t>Proposal 4</w:t>
            </w:r>
            <w:r w:rsidR="00F00E95">
              <w:rPr>
                <w:bCs/>
                <w:iCs/>
              </w:rPr>
              <w:t xml:space="preserve">: </w:t>
            </w:r>
            <w:r w:rsidRPr="00F00E95">
              <w:rPr>
                <w:bCs/>
                <w:iCs/>
              </w:rPr>
              <w:t>For IoT NTN, adopt the same definition for validity of assistance information as for NR NTN.</w:t>
            </w:r>
          </w:p>
        </w:tc>
      </w:tr>
      <w:tr w:rsidR="00A16361" w14:paraId="36CCA059" w14:textId="77777777">
        <w:trPr>
          <w:trHeight w:val="398"/>
          <w:jc w:val="center"/>
        </w:trPr>
        <w:tc>
          <w:tcPr>
            <w:tcW w:w="2547" w:type="dxa"/>
            <w:shd w:val="clear" w:color="auto" w:fill="C6D9F1" w:themeFill="text2" w:themeFillTint="33"/>
            <w:vAlign w:val="center"/>
          </w:tcPr>
          <w:p w14:paraId="6B307B33" w14:textId="49EDC376" w:rsidR="00A16361" w:rsidRDefault="002E60AE">
            <w:pPr>
              <w:snapToGrid w:val="0"/>
              <w:spacing w:after="0"/>
            </w:pPr>
            <w:r>
              <w:lastRenderedPageBreak/>
              <w:t>Lenovo (R1-2210020)</w:t>
            </w:r>
          </w:p>
        </w:tc>
        <w:tc>
          <w:tcPr>
            <w:tcW w:w="8080" w:type="dxa"/>
            <w:vAlign w:val="center"/>
          </w:tcPr>
          <w:p w14:paraId="2A32126E" w14:textId="77777777" w:rsidR="002E60AE" w:rsidRDefault="002E60AE" w:rsidP="002E60AE">
            <w:pPr>
              <w:rPr>
                <w:b/>
                <w:bCs/>
                <w:i/>
                <w:iCs/>
                <w:lang w:eastAsia="zh-CN"/>
              </w:rPr>
            </w:pPr>
            <w:r>
              <w:rPr>
                <w:b/>
                <w:bCs/>
                <w:i/>
                <w:iCs/>
                <w:lang w:eastAsia="zh-CN"/>
              </w:rPr>
              <w:t xml:space="preserve">Proposal 1: </w:t>
            </w:r>
            <w:r w:rsidRPr="002E60AE">
              <w:rPr>
                <w:i/>
                <w:iCs/>
                <w:lang w:eastAsia="zh-CN"/>
              </w:rPr>
              <w:t>Adopt TP#1 to TS36.213 to clarify the UE dropping rule for NPRACH segmented transmission when transmission collision.</w:t>
            </w:r>
          </w:p>
          <w:p w14:paraId="3C9B8F13" w14:textId="158F1E0E" w:rsidR="00A16361" w:rsidRPr="002E60AE" w:rsidRDefault="002E60AE" w:rsidP="002E60AE">
            <w:pPr>
              <w:rPr>
                <w:b/>
                <w:bCs/>
                <w:i/>
                <w:iCs/>
                <w:lang w:eastAsia="zh-CN"/>
              </w:rPr>
            </w:pPr>
            <w:r>
              <w:rPr>
                <w:b/>
                <w:bCs/>
                <w:i/>
                <w:iCs/>
                <w:lang w:eastAsia="zh-CN"/>
              </w:rPr>
              <w:t xml:space="preserve">Observation 1: </w:t>
            </w:r>
            <w:r w:rsidRPr="002E60AE">
              <w:rPr>
                <w:i/>
                <w:iCs/>
                <w:lang w:eastAsia="zh-CN"/>
              </w:rPr>
              <w:t>No CR is needed for specifying the UE dropping rule for all uplink segmented transmission for eMTC.</w:t>
            </w:r>
          </w:p>
        </w:tc>
      </w:tr>
      <w:tr w:rsidR="002E60AE" w14:paraId="07E7AC6D" w14:textId="77777777">
        <w:trPr>
          <w:trHeight w:val="398"/>
          <w:jc w:val="center"/>
        </w:trPr>
        <w:tc>
          <w:tcPr>
            <w:tcW w:w="2547" w:type="dxa"/>
            <w:shd w:val="clear" w:color="auto" w:fill="C6D9F1" w:themeFill="text2" w:themeFillTint="33"/>
            <w:vAlign w:val="center"/>
          </w:tcPr>
          <w:p w14:paraId="0C568BAF" w14:textId="77777777" w:rsidR="002E60AE" w:rsidRDefault="002E60AE">
            <w:pPr>
              <w:snapToGrid w:val="0"/>
              <w:spacing w:after="0"/>
            </w:pPr>
          </w:p>
        </w:tc>
        <w:tc>
          <w:tcPr>
            <w:tcW w:w="8080" w:type="dxa"/>
            <w:vAlign w:val="center"/>
          </w:tcPr>
          <w:p w14:paraId="6F396514" w14:textId="77777777" w:rsidR="002E60AE" w:rsidRDefault="002E60AE">
            <w:pPr>
              <w:spacing w:after="0"/>
              <w:jc w:val="both"/>
              <w:rPr>
                <w:rFonts w:eastAsia="Malgun Gothic"/>
                <w:i/>
                <w:lang w:eastAsia="zh-CN"/>
              </w:rPr>
            </w:pPr>
          </w:p>
        </w:tc>
      </w:tr>
      <w:tr w:rsidR="002E60AE" w14:paraId="7F112E84" w14:textId="77777777">
        <w:trPr>
          <w:trHeight w:val="398"/>
          <w:jc w:val="center"/>
        </w:trPr>
        <w:tc>
          <w:tcPr>
            <w:tcW w:w="2547" w:type="dxa"/>
            <w:shd w:val="clear" w:color="auto" w:fill="C6D9F1" w:themeFill="text2" w:themeFillTint="33"/>
            <w:vAlign w:val="center"/>
          </w:tcPr>
          <w:p w14:paraId="4EA6ECE2" w14:textId="77777777" w:rsidR="002E60AE" w:rsidRDefault="002E60AE">
            <w:pPr>
              <w:snapToGrid w:val="0"/>
              <w:spacing w:after="0"/>
            </w:pPr>
          </w:p>
        </w:tc>
        <w:tc>
          <w:tcPr>
            <w:tcW w:w="8080" w:type="dxa"/>
            <w:vAlign w:val="center"/>
          </w:tcPr>
          <w:p w14:paraId="74DA8AF1" w14:textId="77777777" w:rsidR="002E60AE" w:rsidRDefault="002E60AE">
            <w:pPr>
              <w:spacing w:after="0"/>
              <w:jc w:val="both"/>
              <w:rPr>
                <w:rFonts w:eastAsia="Malgun Gothic"/>
                <w:i/>
                <w:lang w:eastAsia="zh-CN"/>
              </w:rPr>
            </w:pPr>
          </w:p>
        </w:tc>
      </w:tr>
    </w:tbl>
    <w:p w14:paraId="63304501" w14:textId="77777777" w:rsidR="00A16361" w:rsidRDefault="00A16361">
      <w:pPr>
        <w:rPr>
          <w:lang w:val="en-US" w:eastAsia="zh-TW"/>
        </w:rPr>
      </w:pPr>
    </w:p>
    <w:p w14:paraId="4DD42CED" w14:textId="77777777" w:rsidR="00A16361" w:rsidRDefault="00A16361">
      <w:pPr>
        <w:rPr>
          <w:lang w:val="en-US" w:eastAsia="zh-TW"/>
        </w:rPr>
      </w:pPr>
    </w:p>
    <w:sectPr w:rsidR="00A16361">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B59AD" w14:textId="77777777" w:rsidR="003F0E1E" w:rsidRDefault="003F0E1E">
      <w:pPr>
        <w:spacing w:after="0"/>
      </w:pPr>
      <w:r>
        <w:separator/>
      </w:r>
    </w:p>
  </w:endnote>
  <w:endnote w:type="continuationSeparator" w:id="0">
    <w:p w14:paraId="27EB1147" w14:textId="77777777" w:rsidR="003F0E1E" w:rsidRDefault="003F0E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745BA" w14:textId="77777777" w:rsidR="003F0E1E" w:rsidRDefault="003F0E1E">
      <w:pPr>
        <w:spacing w:after="0"/>
      </w:pPr>
      <w:r>
        <w:separator/>
      </w:r>
    </w:p>
  </w:footnote>
  <w:footnote w:type="continuationSeparator" w:id="0">
    <w:p w14:paraId="37B0AE86" w14:textId="77777777" w:rsidR="003F0E1E" w:rsidRDefault="003F0E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6D55"/>
    <w:multiLevelType w:val="multilevel"/>
    <w:tmpl w:val="12A16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7CB05C8"/>
    <w:multiLevelType w:val="multilevel"/>
    <w:tmpl w:val="17CB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2008BE"/>
    <w:multiLevelType w:val="multilevel"/>
    <w:tmpl w:val="19200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D0456E"/>
    <w:multiLevelType w:val="hybridMultilevel"/>
    <w:tmpl w:val="A9C46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9073B"/>
    <w:multiLevelType w:val="hybridMultilevel"/>
    <w:tmpl w:val="26EC9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7" w15:restartNumberingAfterBreak="0">
    <w:nsid w:val="406C1FF5"/>
    <w:multiLevelType w:val="hybridMultilevel"/>
    <w:tmpl w:val="77A0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2268"/>
        </w:tabs>
        <w:ind w:left="2268" w:hanging="1008"/>
      </w:pPr>
      <w:rPr>
        <w:rFonts w:hint="default"/>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4AE32496"/>
    <w:multiLevelType w:val="hybridMultilevel"/>
    <w:tmpl w:val="8800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A30364E"/>
    <w:multiLevelType w:val="hybridMultilevel"/>
    <w:tmpl w:val="2B025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0118F1"/>
    <w:multiLevelType w:val="hybridMultilevel"/>
    <w:tmpl w:val="0746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9867"/>
        </w:tabs>
        <w:ind w:left="9867" w:hanging="360"/>
      </w:pPr>
      <w:rPr>
        <w:rFonts w:ascii="Symbol" w:hAnsi="Symbol" w:hint="default"/>
        <w:b/>
        <w:i w:val="0"/>
        <w:color w:val="auto"/>
        <w:sz w:val="22"/>
      </w:rPr>
    </w:lvl>
    <w:lvl w:ilvl="1">
      <w:start w:val="1"/>
      <w:numFmt w:val="bullet"/>
      <w:lvlText w:val="o"/>
      <w:lvlJc w:val="left"/>
      <w:pPr>
        <w:tabs>
          <w:tab w:val="left" w:pos="1317"/>
        </w:tabs>
        <w:ind w:left="1317" w:hanging="360"/>
      </w:pPr>
      <w:rPr>
        <w:rFonts w:ascii="Courier New" w:hAnsi="Courier New" w:cs="Courier New" w:hint="default"/>
      </w:rPr>
    </w:lvl>
    <w:lvl w:ilvl="2">
      <w:start w:val="1"/>
      <w:numFmt w:val="bullet"/>
      <w:lvlText w:val=""/>
      <w:lvlJc w:val="left"/>
      <w:pPr>
        <w:tabs>
          <w:tab w:val="left" w:pos="2037"/>
        </w:tabs>
        <w:ind w:left="2037" w:hanging="360"/>
      </w:pPr>
      <w:rPr>
        <w:rFonts w:ascii="Wingdings" w:hAnsi="Wingdings" w:hint="default"/>
      </w:rPr>
    </w:lvl>
    <w:lvl w:ilvl="3">
      <w:start w:val="1"/>
      <w:numFmt w:val="bullet"/>
      <w:lvlText w:val=""/>
      <w:lvlJc w:val="left"/>
      <w:pPr>
        <w:tabs>
          <w:tab w:val="left" w:pos="2757"/>
        </w:tabs>
        <w:ind w:left="2757" w:hanging="360"/>
      </w:pPr>
      <w:rPr>
        <w:rFonts w:ascii="Symbol" w:hAnsi="Symbol" w:hint="default"/>
      </w:rPr>
    </w:lvl>
    <w:lvl w:ilvl="4">
      <w:start w:val="1"/>
      <w:numFmt w:val="bullet"/>
      <w:lvlText w:val="o"/>
      <w:lvlJc w:val="left"/>
      <w:pPr>
        <w:tabs>
          <w:tab w:val="left" w:pos="3477"/>
        </w:tabs>
        <w:ind w:left="3477" w:hanging="360"/>
      </w:pPr>
      <w:rPr>
        <w:rFonts w:ascii="Courier New" w:hAnsi="Courier New" w:cs="Courier New" w:hint="default"/>
      </w:rPr>
    </w:lvl>
    <w:lvl w:ilvl="5">
      <w:start w:val="1"/>
      <w:numFmt w:val="bullet"/>
      <w:lvlText w:val=""/>
      <w:lvlJc w:val="left"/>
      <w:pPr>
        <w:tabs>
          <w:tab w:val="left" w:pos="4197"/>
        </w:tabs>
        <w:ind w:left="4197" w:hanging="360"/>
      </w:pPr>
      <w:rPr>
        <w:rFonts w:ascii="Wingdings" w:hAnsi="Wingdings" w:hint="default"/>
      </w:rPr>
    </w:lvl>
    <w:lvl w:ilvl="6">
      <w:start w:val="1"/>
      <w:numFmt w:val="bullet"/>
      <w:lvlText w:val=""/>
      <w:lvlJc w:val="left"/>
      <w:pPr>
        <w:tabs>
          <w:tab w:val="left" w:pos="4917"/>
        </w:tabs>
        <w:ind w:left="4917" w:hanging="360"/>
      </w:pPr>
      <w:rPr>
        <w:rFonts w:ascii="Symbol" w:hAnsi="Symbol" w:hint="default"/>
      </w:rPr>
    </w:lvl>
    <w:lvl w:ilvl="7">
      <w:start w:val="1"/>
      <w:numFmt w:val="bullet"/>
      <w:lvlText w:val="o"/>
      <w:lvlJc w:val="left"/>
      <w:pPr>
        <w:tabs>
          <w:tab w:val="left" w:pos="5637"/>
        </w:tabs>
        <w:ind w:left="5637" w:hanging="360"/>
      </w:pPr>
      <w:rPr>
        <w:rFonts w:ascii="Courier New" w:hAnsi="Courier New" w:cs="Courier New" w:hint="default"/>
      </w:rPr>
    </w:lvl>
    <w:lvl w:ilvl="8">
      <w:start w:val="1"/>
      <w:numFmt w:val="bullet"/>
      <w:lvlText w:val=""/>
      <w:lvlJc w:val="left"/>
      <w:pPr>
        <w:tabs>
          <w:tab w:val="left" w:pos="6357"/>
        </w:tabs>
        <w:ind w:left="6357" w:hanging="360"/>
      </w:pPr>
      <w:rPr>
        <w:rFonts w:ascii="Wingdings" w:hAnsi="Wingdings" w:hint="default"/>
      </w:rPr>
    </w:lvl>
  </w:abstractNum>
  <w:abstractNum w:abstractNumId="14" w15:restartNumberingAfterBreak="0">
    <w:nsid w:val="72950AA6"/>
    <w:multiLevelType w:val="multilevel"/>
    <w:tmpl w:val="72950AA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2FC6C7A"/>
    <w:multiLevelType w:val="multilevel"/>
    <w:tmpl w:val="72FC6C7A"/>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7F2A546A"/>
    <w:multiLevelType w:val="hybridMultilevel"/>
    <w:tmpl w:val="B07C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3"/>
  </w:num>
  <w:num w:numId="4">
    <w:abstractNumId w:val="10"/>
  </w:num>
  <w:num w:numId="5">
    <w:abstractNumId w:val="14"/>
  </w:num>
  <w:num w:numId="6">
    <w:abstractNumId w:val="3"/>
  </w:num>
  <w:num w:numId="7">
    <w:abstractNumId w:val="0"/>
  </w:num>
  <w:num w:numId="8">
    <w:abstractNumId w:val="15"/>
  </w:num>
  <w:num w:numId="9">
    <w:abstractNumId w:val="2"/>
  </w:num>
  <w:num w:numId="10">
    <w:abstractNumId w:val="1"/>
  </w:num>
  <w:num w:numId="11">
    <w:abstractNumId w:val="8"/>
  </w:num>
  <w:num w:numId="12">
    <w:abstractNumId w:val="8"/>
  </w:num>
  <w:num w:numId="13">
    <w:abstractNumId w:val="8"/>
  </w:num>
  <w:num w:numId="14">
    <w:abstractNumId w:val="8"/>
  </w:num>
  <w:num w:numId="15">
    <w:abstractNumId w:val="5"/>
  </w:num>
  <w:num w:numId="16">
    <w:abstractNumId w:val="12"/>
  </w:num>
  <w:num w:numId="17">
    <w:abstractNumId w:val="7"/>
  </w:num>
  <w:num w:numId="18">
    <w:abstractNumId w:val="9"/>
  </w:num>
  <w:num w:numId="19">
    <w:abstractNumId w:val="8"/>
  </w:num>
  <w:num w:numId="20">
    <w:abstractNumId w:val="11"/>
  </w:num>
  <w:num w:numId="21">
    <w:abstractNumId w:val="16"/>
  </w:num>
  <w:num w:numId="22">
    <w:abstractNumId w:val="8"/>
  </w:num>
  <w:num w:numId="23">
    <w:abstractNumId w:val="8"/>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omin Wu">
    <w15:presenceInfo w15:providerId="None" w15:userId="Zuomin Wu"/>
  </w15:person>
  <w15:person w15:author="Sun, Jingyuan (NSB - CN/Beijing)">
    <w15:presenceInfo w15:providerId="AD" w15:userId="S::jingyuan.sun@nokia-sbell.com::8712d175-f14e-481c-8f93-61dc04b85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05B"/>
    <w:rsid w:val="0000266E"/>
    <w:rsid w:val="000027EA"/>
    <w:rsid w:val="00002CDB"/>
    <w:rsid w:val="00002FF6"/>
    <w:rsid w:val="000034F5"/>
    <w:rsid w:val="000035F6"/>
    <w:rsid w:val="00004249"/>
    <w:rsid w:val="0000433D"/>
    <w:rsid w:val="000049CA"/>
    <w:rsid w:val="00004B5C"/>
    <w:rsid w:val="00004F39"/>
    <w:rsid w:val="000054AF"/>
    <w:rsid w:val="00006486"/>
    <w:rsid w:val="00006AC9"/>
    <w:rsid w:val="00006B31"/>
    <w:rsid w:val="00006B42"/>
    <w:rsid w:val="00007011"/>
    <w:rsid w:val="00007890"/>
    <w:rsid w:val="0000797A"/>
    <w:rsid w:val="00010607"/>
    <w:rsid w:val="00010F55"/>
    <w:rsid w:val="0001125D"/>
    <w:rsid w:val="00011A5B"/>
    <w:rsid w:val="00011B91"/>
    <w:rsid w:val="00011D0E"/>
    <w:rsid w:val="000121C0"/>
    <w:rsid w:val="00012BD6"/>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CD3"/>
    <w:rsid w:val="00023D6E"/>
    <w:rsid w:val="0002426D"/>
    <w:rsid w:val="00024F1D"/>
    <w:rsid w:val="0002620B"/>
    <w:rsid w:val="00026234"/>
    <w:rsid w:val="0002654F"/>
    <w:rsid w:val="000266A0"/>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5DDA"/>
    <w:rsid w:val="000363BE"/>
    <w:rsid w:val="00036675"/>
    <w:rsid w:val="00036802"/>
    <w:rsid w:val="0003690C"/>
    <w:rsid w:val="00036E9D"/>
    <w:rsid w:val="00037AA6"/>
    <w:rsid w:val="000401E9"/>
    <w:rsid w:val="0004023F"/>
    <w:rsid w:val="000403CC"/>
    <w:rsid w:val="000404C2"/>
    <w:rsid w:val="000407AA"/>
    <w:rsid w:val="0004087B"/>
    <w:rsid w:val="00041AE7"/>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19B"/>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2A3"/>
    <w:rsid w:val="000626D9"/>
    <w:rsid w:val="00063048"/>
    <w:rsid w:val="00063127"/>
    <w:rsid w:val="000631C2"/>
    <w:rsid w:val="00063B2B"/>
    <w:rsid w:val="00063C86"/>
    <w:rsid w:val="000646D3"/>
    <w:rsid w:val="00064FA6"/>
    <w:rsid w:val="00065582"/>
    <w:rsid w:val="00065840"/>
    <w:rsid w:val="00065B1A"/>
    <w:rsid w:val="00066839"/>
    <w:rsid w:val="00066AC2"/>
    <w:rsid w:val="00066C27"/>
    <w:rsid w:val="00066D8D"/>
    <w:rsid w:val="000672B2"/>
    <w:rsid w:val="0006733D"/>
    <w:rsid w:val="000728B9"/>
    <w:rsid w:val="00072B26"/>
    <w:rsid w:val="00072D4C"/>
    <w:rsid w:val="000732C3"/>
    <w:rsid w:val="00074BF1"/>
    <w:rsid w:val="00074EEA"/>
    <w:rsid w:val="00075346"/>
    <w:rsid w:val="000755C2"/>
    <w:rsid w:val="00075A2A"/>
    <w:rsid w:val="00075A79"/>
    <w:rsid w:val="00075C38"/>
    <w:rsid w:val="0007608E"/>
    <w:rsid w:val="0007716D"/>
    <w:rsid w:val="00077E56"/>
    <w:rsid w:val="000804BB"/>
    <w:rsid w:val="00080EFA"/>
    <w:rsid w:val="000818F7"/>
    <w:rsid w:val="0008193D"/>
    <w:rsid w:val="00081E85"/>
    <w:rsid w:val="0008219C"/>
    <w:rsid w:val="00082593"/>
    <w:rsid w:val="00082AA4"/>
    <w:rsid w:val="00082D71"/>
    <w:rsid w:val="0008301D"/>
    <w:rsid w:val="000837A9"/>
    <w:rsid w:val="00083886"/>
    <w:rsid w:val="00083FAD"/>
    <w:rsid w:val="000843A0"/>
    <w:rsid w:val="00084AFE"/>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397"/>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97F"/>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4E39"/>
    <w:rsid w:val="000B5B95"/>
    <w:rsid w:val="000B5C94"/>
    <w:rsid w:val="000B5F72"/>
    <w:rsid w:val="000B6569"/>
    <w:rsid w:val="000B65F2"/>
    <w:rsid w:val="000B7265"/>
    <w:rsid w:val="000B7FC1"/>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7F9"/>
    <w:rsid w:val="000C5AA6"/>
    <w:rsid w:val="000C647B"/>
    <w:rsid w:val="000C6493"/>
    <w:rsid w:val="000C660C"/>
    <w:rsid w:val="000C74F7"/>
    <w:rsid w:val="000C77C1"/>
    <w:rsid w:val="000C7B9B"/>
    <w:rsid w:val="000D0488"/>
    <w:rsid w:val="000D06B4"/>
    <w:rsid w:val="000D0CCA"/>
    <w:rsid w:val="000D1E9A"/>
    <w:rsid w:val="000D3088"/>
    <w:rsid w:val="000D3176"/>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1EDA"/>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3072"/>
    <w:rsid w:val="000F34DE"/>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974"/>
    <w:rsid w:val="00132A1B"/>
    <w:rsid w:val="00132BEB"/>
    <w:rsid w:val="001338F9"/>
    <w:rsid w:val="00133CC7"/>
    <w:rsid w:val="00134922"/>
    <w:rsid w:val="001354B3"/>
    <w:rsid w:val="00135703"/>
    <w:rsid w:val="00135ED2"/>
    <w:rsid w:val="001360CC"/>
    <w:rsid w:val="001361C1"/>
    <w:rsid w:val="001363F9"/>
    <w:rsid w:val="001368B4"/>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337"/>
    <w:rsid w:val="00145CE0"/>
    <w:rsid w:val="00145E0A"/>
    <w:rsid w:val="00145ED3"/>
    <w:rsid w:val="001460A8"/>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6713A"/>
    <w:rsid w:val="0017047E"/>
    <w:rsid w:val="00171AD9"/>
    <w:rsid w:val="00172031"/>
    <w:rsid w:val="00173258"/>
    <w:rsid w:val="00173323"/>
    <w:rsid w:val="00173389"/>
    <w:rsid w:val="00173918"/>
    <w:rsid w:val="00173B17"/>
    <w:rsid w:val="0017415A"/>
    <w:rsid w:val="00174296"/>
    <w:rsid w:val="001745E8"/>
    <w:rsid w:val="001748F4"/>
    <w:rsid w:val="00175034"/>
    <w:rsid w:val="001750DD"/>
    <w:rsid w:val="00175920"/>
    <w:rsid w:val="00175DDD"/>
    <w:rsid w:val="00175FFE"/>
    <w:rsid w:val="001764E2"/>
    <w:rsid w:val="00177264"/>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FAB"/>
    <w:rsid w:val="00194607"/>
    <w:rsid w:val="00194839"/>
    <w:rsid w:val="00194E22"/>
    <w:rsid w:val="00194FCC"/>
    <w:rsid w:val="00195D0D"/>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AD1"/>
    <w:rsid w:val="001A6E65"/>
    <w:rsid w:val="001A7A64"/>
    <w:rsid w:val="001A7B1F"/>
    <w:rsid w:val="001A7DD9"/>
    <w:rsid w:val="001B012D"/>
    <w:rsid w:val="001B1153"/>
    <w:rsid w:val="001B147A"/>
    <w:rsid w:val="001B2F0F"/>
    <w:rsid w:val="001B2F94"/>
    <w:rsid w:val="001B37F7"/>
    <w:rsid w:val="001B3817"/>
    <w:rsid w:val="001B3867"/>
    <w:rsid w:val="001B3D47"/>
    <w:rsid w:val="001B3FC0"/>
    <w:rsid w:val="001B41BC"/>
    <w:rsid w:val="001B4C15"/>
    <w:rsid w:val="001B4D5B"/>
    <w:rsid w:val="001B5289"/>
    <w:rsid w:val="001B53B8"/>
    <w:rsid w:val="001B6024"/>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070"/>
    <w:rsid w:val="001D028C"/>
    <w:rsid w:val="001D0434"/>
    <w:rsid w:val="001D05E6"/>
    <w:rsid w:val="001D0884"/>
    <w:rsid w:val="001D09DC"/>
    <w:rsid w:val="001D131B"/>
    <w:rsid w:val="001D1E8C"/>
    <w:rsid w:val="001D2380"/>
    <w:rsid w:val="001D26C2"/>
    <w:rsid w:val="001D2CE8"/>
    <w:rsid w:val="001D2D0D"/>
    <w:rsid w:val="001D3525"/>
    <w:rsid w:val="001D3EFD"/>
    <w:rsid w:val="001D4B2F"/>
    <w:rsid w:val="001D4FA6"/>
    <w:rsid w:val="001D50EA"/>
    <w:rsid w:val="001D64C9"/>
    <w:rsid w:val="001D654E"/>
    <w:rsid w:val="001D72E5"/>
    <w:rsid w:val="001D7862"/>
    <w:rsid w:val="001D7D29"/>
    <w:rsid w:val="001E0941"/>
    <w:rsid w:val="001E0CB2"/>
    <w:rsid w:val="001E11B3"/>
    <w:rsid w:val="001E1841"/>
    <w:rsid w:val="001E19B5"/>
    <w:rsid w:val="001E1C5F"/>
    <w:rsid w:val="001E25F6"/>
    <w:rsid w:val="001E29F0"/>
    <w:rsid w:val="001E2D80"/>
    <w:rsid w:val="001E31E6"/>
    <w:rsid w:val="001E3B39"/>
    <w:rsid w:val="001E3E82"/>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3504"/>
    <w:rsid w:val="001F3A4A"/>
    <w:rsid w:val="001F4044"/>
    <w:rsid w:val="001F436C"/>
    <w:rsid w:val="001F48EB"/>
    <w:rsid w:val="001F4C17"/>
    <w:rsid w:val="001F55A3"/>
    <w:rsid w:val="001F573A"/>
    <w:rsid w:val="001F5981"/>
    <w:rsid w:val="001F632B"/>
    <w:rsid w:val="001F642C"/>
    <w:rsid w:val="001F6689"/>
    <w:rsid w:val="001F67DC"/>
    <w:rsid w:val="001F67FB"/>
    <w:rsid w:val="001F68B2"/>
    <w:rsid w:val="001F744E"/>
    <w:rsid w:val="001F783F"/>
    <w:rsid w:val="001F7E47"/>
    <w:rsid w:val="002004AE"/>
    <w:rsid w:val="00200B74"/>
    <w:rsid w:val="0020132B"/>
    <w:rsid w:val="00201BAC"/>
    <w:rsid w:val="002021E2"/>
    <w:rsid w:val="002023A0"/>
    <w:rsid w:val="002023BA"/>
    <w:rsid w:val="0020294D"/>
    <w:rsid w:val="002029AF"/>
    <w:rsid w:val="00202AE7"/>
    <w:rsid w:val="00203919"/>
    <w:rsid w:val="002042AD"/>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A70"/>
    <w:rsid w:val="00216D2C"/>
    <w:rsid w:val="00217582"/>
    <w:rsid w:val="0022144E"/>
    <w:rsid w:val="00221660"/>
    <w:rsid w:val="00221759"/>
    <w:rsid w:val="00221AB3"/>
    <w:rsid w:val="0022237A"/>
    <w:rsid w:val="002223A7"/>
    <w:rsid w:val="00222699"/>
    <w:rsid w:val="00222897"/>
    <w:rsid w:val="00222C33"/>
    <w:rsid w:val="00223997"/>
    <w:rsid w:val="00223AE4"/>
    <w:rsid w:val="002240BE"/>
    <w:rsid w:val="0022456E"/>
    <w:rsid w:val="00224E7E"/>
    <w:rsid w:val="00225D5D"/>
    <w:rsid w:val="00225D8E"/>
    <w:rsid w:val="00225FE0"/>
    <w:rsid w:val="002264C6"/>
    <w:rsid w:val="00226933"/>
    <w:rsid w:val="00230294"/>
    <w:rsid w:val="002307D2"/>
    <w:rsid w:val="00230A7B"/>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5CA0"/>
    <w:rsid w:val="002366D4"/>
    <w:rsid w:val="00236CFB"/>
    <w:rsid w:val="00237173"/>
    <w:rsid w:val="00237328"/>
    <w:rsid w:val="00237FE4"/>
    <w:rsid w:val="0024001D"/>
    <w:rsid w:val="002402B1"/>
    <w:rsid w:val="00240BE3"/>
    <w:rsid w:val="00240D1E"/>
    <w:rsid w:val="00240F7D"/>
    <w:rsid w:val="0024197D"/>
    <w:rsid w:val="002419D0"/>
    <w:rsid w:val="00241BBA"/>
    <w:rsid w:val="00241D4B"/>
    <w:rsid w:val="00242047"/>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37F"/>
    <w:rsid w:val="002506F0"/>
    <w:rsid w:val="002507DA"/>
    <w:rsid w:val="00250811"/>
    <w:rsid w:val="0025085E"/>
    <w:rsid w:val="00250B52"/>
    <w:rsid w:val="002516D2"/>
    <w:rsid w:val="00251715"/>
    <w:rsid w:val="00251ECD"/>
    <w:rsid w:val="00252373"/>
    <w:rsid w:val="00252542"/>
    <w:rsid w:val="002525E1"/>
    <w:rsid w:val="00252C6C"/>
    <w:rsid w:val="00252EB7"/>
    <w:rsid w:val="00253881"/>
    <w:rsid w:val="00253CD8"/>
    <w:rsid w:val="0025452C"/>
    <w:rsid w:val="002549FC"/>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14B"/>
    <w:rsid w:val="0026384C"/>
    <w:rsid w:val="00263ADA"/>
    <w:rsid w:val="00263C09"/>
    <w:rsid w:val="00264957"/>
    <w:rsid w:val="00264F41"/>
    <w:rsid w:val="0026531E"/>
    <w:rsid w:val="0026546F"/>
    <w:rsid w:val="00265893"/>
    <w:rsid w:val="00265FC3"/>
    <w:rsid w:val="002660D2"/>
    <w:rsid w:val="002662A8"/>
    <w:rsid w:val="00266336"/>
    <w:rsid w:val="00266907"/>
    <w:rsid w:val="0026698C"/>
    <w:rsid w:val="002669D2"/>
    <w:rsid w:val="0026712D"/>
    <w:rsid w:val="00267A53"/>
    <w:rsid w:val="00267C65"/>
    <w:rsid w:val="00270196"/>
    <w:rsid w:val="00270D7D"/>
    <w:rsid w:val="00270F6A"/>
    <w:rsid w:val="00271658"/>
    <w:rsid w:val="0027167D"/>
    <w:rsid w:val="00272323"/>
    <w:rsid w:val="00272347"/>
    <w:rsid w:val="002723EF"/>
    <w:rsid w:val="00273456"/>
    <w:rsid w:val="00273942"/>
    <w:rsid w:val="00273DAB"/>
    <w:rsid w:val="002743AC"/>
    <w:rsid w:val="002748D3"/>
    <w:rsid w:val="00274D4B"/>
    <w:rsid w:val="00274E1A"/>
    <w:rsid w:val="00274F0A"/>
    <w:rsid w:val="00275A43"/>
    <w:rsid w:val="00275E1D"/>
    <w:rsid w:val="00275E88"/>
    <w:rsid w:val="002770F4"/>
    <w:rsid w:val="00277114"/>
    <w:rsid w:val="00277420"/>
    <w:rsid w:val="00277744"/>
    <w:rsid w:val="00277A91"/>
    <w:rsid w:val="00277AE9"/>
    <w:rsid w:val="00277E9D"/>
    <w:rsid w:val="002801E9"/>
    <w:rsid w:val="002804A9"/>
    <w:rsid w:val="0028095A"/>
    <w:rsid w:val="00280D70"/>
    <w:rsid w:val="00281609"/>
    <w:rsid w:val="002818EA"/>
    <w:rsid w:val="00282213"/>
    <w:rsid w:val="002830C4"/>
    <w:rsid w:val="00283A0D"/>
    <w:rsid w:val="00283B74"/>
    <w:rsid w:val="00283ECB"/>
    <w:rsid w:val="00285528"/>
    <w:rsid w:val="002860EC"/>
    <w:rsid w:val="002863A3"/>
    <w:rsid w:val="002870F7"/>
    <w:rsid w:val="002876EA"/>
    <w:rsid w:val="00287850"/>
    <w:rsid w:val="00287BC6"/>
    <w:rsid w:val="00287EB8"/>
    <w:rsid w:val="00290208"/>
    <w:rsid w:val="00290926"/>
    <w:rsid w:val="0029092A"/>
    <w:rsid w:val="00290D7F"/>
    <w:rsid w:val="00290F4F"/>
    <w:rsid w:val="0029166C"/>
    <w:rsid w:val="0029193E"/>
    <w:rsid w:val="00292582"/>
    <w:rsid w:val="00292870"/>
    <w:rsid w:val="0029299D"/>
    <w:rsid w:val="002939D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19BE"/>
    <w:rsid w:val="002A212F"/>
    <w:rsid w:val="002A242A"/>
    <w:rsid w:val="002A2935"/>
    <w:rsid w:val="002A2B22"/>
    <w:rsid w:val="002A2D81"/>
    <w:rsid w:val="002A2D8B"/>
    <w:rsid w:val="002A3622"/>
    <w:rsid w:val="002A3933"/>
    <w:rsid w:val="002A3D08"/>
    <w:rsid w:val="002A4905"/>
    <w:rsid w:val="002A4C60"/>
    <w:rsid w:val="002A63E4"/>
    <w:rsid w:val="002A6487"/>
    <w:rsid w:val="002A6DBC"/>
    <w:rsid w:val="002A6FE9"/>
    <w:rsid w:val="002B0008"/>
    <w:rsid w:val="002B1169"/>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69B"/>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245"/>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97B"/>
    <w:rsid w:val="002E5ECE"/>
    <w:rsid w:val="002E5EFC"/>
    <w:rsid w:val="002E60AE"/>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7D5"/>
    <w:rsid w:val="002F4814"/>
    <w:rsid w:val="002F53F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AF0"/>
    <w:rsid w:val="00304E95"/>
    <w:rsid w:val="00304F2A"/>
    <w:rsid w:val="003052DA"/>
    <w:rsid w:val="0030617F"/>
    <w:rsid w:val="0030639C"/>
    <w:rsid w:val="0030668E"/>
    <w:rsid w:val="003068AB"/>
    <w:rsid w:val="00306940"/>
    <w:rsid w:val="0030702F"/>
    <w:rsid w:val="003071FF"/>
    <w:rsid w:val="00307543"/>
    <w:rsid w:val="00310185"/>
    <w:rsid w:val="00310865"/>
    <w:rsid w:val="00310B96"/>
    <w:rsid w:val="00310F56"/>
    <w:rsid w:val="003118E3"/>
    <w:rsid w:val="00311B78"/>
    <w:rsid w:val="00312C8F"/>
    <w:rsid w:val="00313089"/>
    <w:rsid w:val="003140CB"/>
    <w:rsid w:val="00314251"/>
    <w:rsid w:val="00314884"/>
    <w:rsid w:val="00314DBA"/>
    <w:rsid w:val="0031500B"/>
    <w:rsid w:val="00316246"/>
    <w:rsid w:val="003168BC"/>
    <w:rsid w:val="00316937"/>
    <w:rsid w:val="0031694B"/>
    <w:rsid w:val="00317783"/>
    <w:rsid w:val="003210CC"/>
    <w:rsid w:val="00321434"/>
    <w:rsid w:val="0032165D"/>
    <w:rsid w:val="003217CF"/>
    <w:rsid w:val="003218BD"/>
    <w:rsid w:val="0032204F"/>
    <w:rsid w:val="0032234D"/>
    <w:rsid w:val="003230B0"/>
    <w:rsid w:val="00323842"/>
    <w:rsid w:val="00323F73"/>
    <w:rsid w:val="0032437E"/>
    <w:rsid w:val="0032537A"/>
    <w:rsid w:val="00325911"/>
    <w:rsid w:val="00325AD5"/>
    <w:rsid w:val="00326B16"/>
    <w:rsid w:val="00327071"/>
    <w:rsid w:val="0033088D"/>
    <w:rsid w:val="00330AB0"/>
    <w:rsid w:val="00330E3A"/>
    <w:rsid w:val="00331B14"/>
    <w:rsid w:val="00331DCD"/>
    <w:rsid w:val="00331F8D"/>
    <w:rsid w:val="00331F9B"/>
    <w:rsid w:val="00332591"/>
    <w:rsid w:val="00333D0A"/>
    <w:rsid w:val="00334081"/>
    <w:rsid w:val="00334800"/>
    <w:rsid w:val="00335D04"/>
    <w:rsid w:val="003366B3"/>
    <w:rsid w:val="00336C32"/>
    <w:rsid w:val="00336D45"/>
    <w:rsid w:val="003379C2"/>
    <w:rsid w:val="00337D4F"/>
    <w:rsid w:val="00337E39"/>
    <w:rsid w:val="00340390"/>
    <w:rsid w:val="00340510"/>
    <w:rsid w:val="00340FF2"/>
    <w:rsid w:val="00341043"/>
    <w:rsid w:val="003411C2"/>
    <w:rsid w:val="0034184B"/>
    <w:rsid w:val="0034194D"/>
    <w:rsid w:val="00341A86"/>
    <w:rsid w:val="00341AC2"/>
    <w:rsid w:val="00342018"/>
    <w:rsid w:val="0034222D"/>
    <w:rsid w:val="00342904"/>
    <w:rsid w:val="0034298C"/>
    <w:rsid w:val="00342AAB"/>
    <w:rsid w:val="00343440"/>
    <w:rsid w:val="003434CB"/>
    <w:rsid w:val="003438CF"/>
    <w:rsid w:val="00343E1A"/>
    <w:rsid w:val="003445CF"/>
    <w:rsid w:val="003464EE"/>
    <w:rsid w:val="00346DD5"/>
    <w:rsid w:val="00346EF9"/>
    <w:rsid w:val="00347756"/>
    <w:rsid w:val="00347BBD"/>
    <w:rsid w:val="00350354"/>
    <w:rsid w:val="003508C7"/>
    <w:rsid w:val="00350C71"/>
    <w:rsid w:val="00350E37"/>
    <w:rsid w:val="00350F43"/>
    <w:rsid w:val="003510FA"/>
    <w:rsid w:val="00351BD6"/>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15C"/>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8A1"/>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711F"/>
    <w:rsid w:val="00377B02"/>
    <w:rsid w:val="00377E6E"/>
    <w:rsid w:val="00381683"/>
    <w:rsid w:val="00381B4B"/>
    <w:rsid w:val="00381E61"/>
    <w:rsid w:val="0038275A"/>
    <w:rsid w:val="00382F79"/>
    <w:rsid w:val="00383ACF"/>
    <w:rsid w:val="00384012"/>
    <w:rsid w:val="00384502"/>
    <w:rsid w:val="0038470F"/>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928"/>
    <w:rsid w:val="00394FB1"/>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259"/>
    <w:rsid w:val="003A7FDA"/>
    <w:rsid w:val="003B037E"/>
    <w:rsid w:val="003B04E4"/>
    <w:rsid w:val="003B0ED3"/>
    <w:rsid w:val="003B1405"/>
    <w:rsid w:val="003B1426"/>
    <w:rsid w:val="003B1B74"/>
    <w:rsid w:val="003B1CD7"/>
    <w:rsid w:val="003B25A7"/>
    <w:rsid w:val="003B26EA"/>
    <w:rsid w:val="003B2DEF"/>
    <w:rsid w:val="003B34A4"/>
    <w:rsid w:val="003B360D"/>
    <w:rsid w:val="003B4015"/>
    <w:rsid w:val="003B42CA"/>
    <w:rsid w:val="003B458E"/>
    <w:rsid w:val="003B5123"/>
    <w:rsid w:val="003B63FF"/>
    <w:rsid w:val="003B6D25"/>
    <w:rsid w:val="003B71E2"/>
    <w:rsid w:val="003B76D0"/>
    <w:rsid w:val="003B77B6"/>
    <w:rsid w:val="003B7E6C"/>
    <w:rsid w:val="003C1992"/>
    <w:rsid w:val="003C1B25"/>
    <w:rsid w:val="003C1BD4"/>
    <w:rsid w:val="003C1D7A"/>
    <w:rsid w:val="003C20A1"/>
    <w:rsid w:val="003C245B"/>
    <w:rsid w:val="003C2562"/>
    <w:rsid w:val="003C2879"/>
    <w:rsid w:val="003C295D"/>
    <w:rsid w:val="003C2DC1"/>
    <w:rsid w:val="003C3166"/>
    <w:rsid w:val="003C4DF7"/>
    <w:rsid w:val="003C4FD8"/>
    <w:rsid w:val="003C5034"/>
    <w:rsid w:val="003C5536"/>
    <w:rsid w:val="003C5688"/>
    <w:rsid w:val="003C5797"/>
    <w:rsid w:val="003C5B3C"/>
    <w:rsid w:val="003C5CD0"/>
    <w:rsid w:val="003C6762"/>
    <w:rsid w:val="003C6806"/>
    <w:rsid w:val="003C73E1"/>
    <w:rsid w:val="003C7C79"/>
    <w:rsid w:val="003D0233"/>
    <w:rsid w:val="003D026A"/>
    <w:rsid w:val="003D0341"/>
    <w:rsid w:val="003D0737"/>
    <w:rsid w:val="003D187B"/>
    <w:rsid w:val="003D1AED"/>
    <w:rsid w:val="003D1EED"/>
    <w:rsid w:val="003D1F33"/>
    <w:rsid w:val="003D297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0E1E"/>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2CEB"/>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63C"/>
    <w:rsid w:val="00413D36"/>
    <w:rsid w:val="00413D74"/>
    <w:rsid w:val="00413E80"/>
    <w:rsid w:val="004140F3"/>
    <w:rsid w:val="00414255"/>
    <w:rsid w:val="0041441E"/>
    <w:rsid w:val="00414429"/>
    <w:rsid w:val="004145EC"/>
    <w:rsid w:val="00415DFC"/>
    <w:rsid w:val="004167EB"/>
    <w:rsid w:val="004167FD"/>
    <w:rsid w:val="0041688B"/>
    <w:rsid w:val="004169CC"/>
    <w:rsid w:val="004177C6"/>
    <w:rsid w:val="0041783D"/>
    <w:rsid w:val="00417981"/>
    <w:rsid w:val="00417DAE"/>
    <w:rsid w:val="0042109B"/>
    <w:rsid w:val="004213E9"/>
    <w:rsid w:val="004219E9"/>
    <w:rsid w:val="00421F3E"/>
    <w:rsid w:val="004222B0"/>
    <w:rsid w:val="004224FF"/>
    <w:rsid w:val="00422A70"/>
    <w:rsid w:val="00423A72"/>
    <w:rsid w:val="00423C66"/>
    <w:rsid w:val="0042406C"/>
    <w:rsid w:val="004241DC"/>
    <w:rsid w:val="00424ED4"/>
    <w:rsid w:val="0042555A"/>
    <w:rsid w:val="00426013"/>
    <w:rsid w:val="004263AA"/>
    <w:rsid w:val="00426868"/>
    <w:rsid w:val="00426AD3"/>
    <w:rsid w:val="00427DBF"/>
    <w:rsid w:val="00427E7B"/>
    <w:rsid w:val="00430B64"/>
    <w:rsid w:val="0043223A"/>
    <w:rsid w:val="00434444"/>
    <w:rsid w:val="004351E3"/>
    <w:rsid w:val="004360DF"/>
    <w:rsid w:val="00436205"/>
    <w:rsid w:val="00436340"/>
    <w:rsid w:val="00436526"/>
    <w:rsid w:val="0043690C"/>
    <w:rsid w:val="00436B31"/>
    <w:rsid w:val="00437107"/>
    <w:rsid w:val="0044038F"/>
    <w:rsid w:val="004412F8"/>
    <w:rsid w:val="004428FF"/>
    <w:rsid w:val="00442F6C"/>
    <w:rsid w:val="004439C6"/>
    <w:rsid w:val="00443C1D"/>
    <w:rsid w:val="00444225"/>
    <w:rsid w:val="00444711"/>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65"/>
    <w:rsid w:val="004667C7"/>
    <w:rsid w:val="00466A46"/>
    <w:rsid w:val="004707C7"/>
    <w:rsid w:val="004714C0"/>
    <w:rsid w:val="004714DD"/>
    <w:rsid w:val="00471619"/>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C0F"/>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282"/>
    <w:rsid w:val="004B1ECD"/>
    <w:rsid w:val="004B23F7"/>
    <w:rsid w:val="004B253D"/>
    <w:rsid w:val="004B26E9"/>
    <w:rsid w:val="004B2F20"/>
    <w:rsid w:val="004B3236"/>
    <w:rsid w:val="004B327D"/>
    <w:rsid w:val="004B34BE"/>
    <w:rsid w:val="004B3C4D"/>
    <w:rsid w:val="004B43A1"/>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AAC"/>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69B1"/>
    <w:rsid w:val="004E6D4E"/>
    <w:rsid w:val="004E72E8"/>
    <w:rsid w:val="004E7758"/>
    <w:rsid w:val="004F03DF"/>
    <w:rsid w:val="004F0B5D"/>
    <w:rsid w:val="004F0C92"/>
    <w:rsid w:val="004F1288"/>
    <w:rsid w:val="004F1504"/>
    <w:rsid w:val="004F1B89"/>
    <w:rsid w:val="004F246E"/>
    <w:rsid w:val="004F2ABD"/>
    <w:rsid w:val="004F402C"/>
    <w:rsid w:val="004F40A8"/>
    <w:rsid w:val="004F4496"/>
    <w:rsid w:val="004F4E1E"/>
    <w:rsid w:val="004F59A8"/>
    <w:rsid w:val="004F5A72"/>
    <w:rsid w:val="004F60C6"/>
    <w:rsid w:val="004F6BEB"/>
    <w:rsid w:val="004F6E91"/>
    <w:rsid w:val="004F74EA"/>
    <w:rsid w:val="004F7856"/>
    <w:rsid w:val="004F7FCE"/>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923"/>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65E8"/>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5ECF"/>
    <w:rsid w:val="005265BC"/>
    <w:rsid w:val="0052666D"/>
    <w:rsid w:val="00526A3E"/>
    <w:rsid w:val="00526CE4"/>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4F4"/>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444"/>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6C8"/>
    <w:rsid w:val="00590DBE"/>
    <w:rsid w:val="00592273"/>
    <w:rsid w:val="00593026"/>
    <w:rsid w:val="005934C4"/>
    <w:rsid w:val="005936E2"/>
    <w:rsid w:val="005937DC"/>
    <w:rsid w:val="00593800"/>
    <w:rsid w:val="00593807"/>
    <w:rsid w:val="005941B1"/>
    <w:rsid w:val="0059450C"/>
    <w:rsid w:val="00595529"/>
    <w:rsid w:val="00595AF9"/>
    <w:rsid w:val="00595B59"/>
    <w:rsid w:val="00595FA1"/>
    <w:rsid w:val="0059650A"/>
    <w:rsid w:val="00597C60"/>
    <w:rsid w:val="00597F0D"/>
    <w:rsid w:val="005A023B"/>
    <w:rsid w:val="005A17B1"/>
    <w:rsid w:val="005A1C53"/>
    <w:rsid w:val="005A2911"/>
    <w:rsid w:val="005A2AED"/>
    <w:rsid w:val="005A3D8F"/>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7E5"/>
    <w:rsid w:val="005C1D14"/>
    <w:rsid w:val="005C335A"/>
    <w:rsid w:val="005C3C40"/>
    <w:rsid w:val="005C453E"/>
    <w:rsid w:val="005C4AFB"/>
    <w:rsid w:val="005C4CA3"/>
    <w:rsid w:val="005C4E15"/>
    <w:rsid w:val="005C4F05"/>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21C"/>
    <w:rsid w:val="005E4724"/>
    <w:rsid w:val="005E4B9F"/>
    <w:rsid w:val="005E4C78"/>
    <w:rsid w:val="005E52C6"/>
    <w:rsid w:val="005E558D"/>
    <w:rsid w:val="005E5623"/>
    <w:rsid w:val="005E5985"/>
    <w:rsid w:val="005E5BB5"/>
    <w:rsid w:val="005E7768"/>
    <w:rsid w:val="005E7CB6"/>
    <w:rsid w:val="005E7E39"/>
    <w:rsid w:val="005E7EC1"/>
    <w:rsid w:val="005F0590"/>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44F"/>
    <w:rsid w:val="005F55A3"/>
    <w:rsid w:val="005F55F8"/>
    <w:rsid w:val="005F57B4"/>
    <w:rsid w:val="005F5DF6"/>
    <w:rsid w:val="005F5F18"/>
    <w:rsid w:val="005F667E"/>
    <w:rsid w:val="005F6D50"/>
    <w:rsid w:val="005F6FBF"/>
    <w:rsid w:val="005F75B4"/>
    <w:rsid w:val="00600204"/>
    <w:rsid w:val="006002C5"/>
    <w:rsid w:val="006003DF"/>
    <w:rsid w:val="00600BD4"/>
    <w:rsid w:val="006010BC"/>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62B"/>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A48"/>
    <w:rsid w:val="00621F35"/>
    <w:rsid w:val="00622062"/>
    <w:rsid w:val="00622066"/>
    <w:rsid w:val="00622435"/>
    <w:rsid w:val="006226BC"/>
    <w:rsid w:val="00622F5E"/>
    <w:rsid w:val="00623C8D"/>
    <w:rsid w:val="00623E38"/>
    <w:rsid w:val="00624011"/>
    <w:rsid w:val="006258C4"/>
    <w:rsid w:val="006267BE"/>
    <w:rsid w:val="006267F9"/>
    <w:rsid w:val="0062764B"/>
    <w:rsid w:val="00627CB2"/>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116"/>
    <w:rsid w:val="0064027A"/>
    <w:rsid w:val="00640538"/>
    <w:rsid w:val="006406E3"/>
    <w:rsid w:val="00641A3E"/>
    <w:rsid w:val="00642322"/>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03"/>
    <w:rsid w:val="00653821"/>
    <w:rsid w:val="00653B0E"/>
    <w:rsid w:val="00654C61"/>
    <w:rsid w:val="00654F94"/>
    <w:rsid w:val="00655094"/>
    <w:rsid w:val="0065543D"/>
    <w:rsid w:val="006557C0"/>
    <w:rsid w:val="00655C1F"/>
    <w:rsid w:val="00656366"/>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A62"/>
    <w:rsid w:val="00665C04"/>
    <w:rsid w:val="00666664"/>
    <w:rsid w:val="00666E89"/>
    <w:rsid w:val="0066734B"/>
    <w:rsid w:val="00667AD4"/>
    <w:rsid w:val="00667C4B"/>
    <w:rsid w:val="00667CB7"/>
    <w:rsid w:val="00667DD8"/>
    <w:rsid w:val="00670166"/>
    <w:rsid w:val="00670B59"/>
    <w:rsid w:val="00671800"/>
    <w:rsid w:val="00671BEF"/>
    <w:rsid w:val="00671FB7"/>
    <w:rsid w:val="00673054"/>
    <w:rsid w:val="0067344D"/>
    <w:rsid w:val="00673B69"/>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27C8"/>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35"/>
    <w:rsid w:val="00696A95"/>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6C4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4252"/>
    <w:rsid w:val="006B4703"/>
    <w:rsid w:val="006B47F8"/>
    <w:rsid w:val="006B4AAA"/>
    <w:rsid w:val="006B519B"/>
    <w:rsid w:val="006B562D"/>
    <w:rsid w:val="006B579D"/>
    <w:rsid w:val="006B5990"/>
    <w:rsid w:val="006B5E5B"/>
    <w:rsid w:val="006B61A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45B"/>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69B0"/>
    <w:rsid w:val="006C7557"/>
    <w:rsid w:val="006C75ED"/>
    <w:rsid w:val="006C77AF"/>
    <w:rsid w:val="006C7CF2"/>
    <w:rsid w:val="006D045A"/>
    <w:rsid w:val="006D0C33"/>
    <w:rsid w:val="006D0EB8"/>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89E"/>
    <w:rsid w:val="006D69C6"/>
    <w:rsid w:val="006D6CF0"/>
    <w:rsid w:val="006D6D17"/>
    <w:rsid w:val="006D6ED3"/>
    <w:rsid w:val="006D7D9D"/>
    <w:rsid w:val="006E0560"/>
    <w:rsid w:val="006E0979"/>
    <w:rsid w:val="006E0EFA"/>
    <w:rsid w:val="006E148C"/>
    <w:rsid w:val="006E1655"/>
    <w:rsid w:val="006E20CF"/>
    <w:rsid w:val="006E30A3"/>
    <w:rsid w:val="006E3251"/>
    <w:rsid w:val="006E3804"/>
    <w:rsid w:val="006E3F64"/>
    <w:rsid w:val="006E3F94"/>
    <w:rsid w:val="006E4526"/>
    <w:rsid w:val="006E50C9"/>
    <w:rsid w:val="006E6261"/>
    <w:rsid w:val="006E6BF4"/>
    <w:rsid w:val="006E7B14"/>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5F73"/>
    <w:rsid w:val="0070646B"/>
    <w:rsid w:val="007070F3"/>
    <w:rsid w:val="0070723C"/>
    <w:rsid w:val="00710C8E"/>
    <w:rsid w:val="00710D3B"/>
    <w:rsid w:val="00710FE8"/>
    <w:rsid w:val="00711097"/>
    <w:rsid w:val="0071157A"/>
    <w:rsid w:val="00712555"/>
    <w:rsid w:val="00712AC2"/>
    <w:rsid w:val="00712C18"/>
    <w:rsid w:val="00712D05"/>
    <w:rsid w:val="00713B22"/>
    <w:rsid w:val="00713BC4"/>
    <w:rsid w:val="00714A9B"/>
    <w:rsid w:val="00714ABC"/>
    <w:rsid w:val="00714DF3"/>
    <w:rsid w:val="0071511E"/>
    <w:rsid w:val="007151C3"/>
    <w:rsid w:val="00715AFE"/>
    <w:rsid w:val="007164D4"/>
    <w:rsid w:val="007169C7"/>
    <w:rsid w:val="00716A07"/>
    <w:rsid w:val="00720176"/>
    <w:rsid w:val="00720345"/>
    <w:rsid w:val="00720397"/>
    <w:rsid w:val="007215FE"/>
    <w:rsid w:val="00722229"/>
    <w:rsid w:val="007225C2"/>
    <w:rsid w:val="00722727"/>
    <w:rsid w:val="007229B4"/>
    <w:rsid w:val="007229CC"/>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0818"/>
    <w:rsid w:val="007314A7"/>
    <w:rsid w:val="007316D6"/>
    <w:rsid w:val="00731B1E"/>
    <w:rsid w:val="00731B29"/>
    <w:rsid w:val="00732379"/>
    <w:rsid w:val="007329B0"/>
    <w:rsid w:val="00732CDF"/>
    <w:rsid w:val="0073302B"/>
    <w:rsid w:val="007338C3"/>
    <w:rsid w:val="007339B0"/>
    <w:rsid w:val="00733FD1"/>
    <w:rsid w:val="0073431D"/>
    <w:rsid w:val="007343F8"/>
    <w:rsid w:val="00734782"/>
    <w:rsid w:val="007347C7"/>
    <w:rsid w:val="00734AA0"/>
    <w:rsid w:val="0073514C"/>
    <w:rsid w:val="007355FE"/>
    <w:rsid w:val="00735A2B"/>
    <w:rsid w:val="00735E52"/>
    <w:rsid w:val="0073609F"/>
    <w:rsid w:val="00736380"/>
    <w:rsid w:val="007364C3"/>
    <w:rsid w:val="00736E91"/>
    <w:rsid w:val="0073727C"/>
    <w:rsid w:val="00737559"/>
    <w:rsid w:val="00737B43"/>
    <w:rsid w:val="00737CB0"/>
    <w:rsid w:val="0074015A"/>
    <w:rsid w:val="007407AA"/>
    <w:rsid w:val="00740926"/>
    <w:rsid w:val="00740E35"/>
    <w:rsid w:val="00740ECC"/>
    <w:rsid w:val="00741187"/>
    <w:rsid w:val="00741B64"/>
    <w:rsid w:val="00741E96"/>
    <w:rsid w:val="00741F65"/>
    <w:rsid w:val="00742643"/>
    <w:rsid w:val="007428EA"/>
    <w:rsid w:val="007436FD"/>
    <w:rsid w:val="00743747"/>
    <w:rsid w:val="007437DB"/>
    <w:rsid w:val="00743B14"/>
    <w:rsid w:val="00744542"/>
    <w:rsid w:val="00744559"/>
    <w:rsid w:val="00744707"/>
    <w:rsid w:val="00744CB4"/>
    <w:rsid w:val="00744EEC"/>
    <w:rsid w:val="00744F5A"/>
    <w:rsid w:val="0074577E"/>
    <w:rsid w:val="00745EE8"/>
    <w:rsid w:val="00746543"/>
    <w:rsid w:val="00746FF2"/>
    <w:rsid w:val="0074791E"/>
    <w:rsid w:val="00750041"/>
    <w:rsid w:val="00750F62"/>
    <w:rsid w:val="00751B13"/>
    <w:rsid w:val="00751D28"/>
    <w:rsid w:val="00751D5B"/>
    <w:rsid w:val="00751EEC"/>
    <w:rsid w:val="00752325"/>
    <w:rsid w:val="00753075"/>
    <w:rsid w:val="007531CF"/>
    <w:rsid w:val="0075370B"/>
    <w:rsid w:val="007537F9"/>
    <w:rsid w:val="00754649"/>
    <w:rsid w:val="00754882"/>
    <w:rsid w:val="00754AF0"/>
    <w:rsid w:val="007552DF"/>
    <w:rsid w:val="00755538"/>
    <w:rsid w:val="00755A47"/>
    <w:rsid w:val="00755E6C"/>
    <w:rsid w:val="00755EDF"/>
    <w:rsid w:val="00756468"/>
    <w:rsid w:val="00757050"/>
    <w:rsid w:val="00757298"/>
    <w:rsid w:val="00760159"/>
    <w:rsid w:val="007602AE"/>
    <w:rsid w:val="007602D2"/>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0725"/>
    <w:rsid w:val="00771127"/>
    <w:rsid w:val="007712DE"/>
    <w:rsid w:val="0077167B"/>
    <w:rsid w:val="00771730"/>
    <w:rsid w:val="0077287B"/>
    <w:rsid w:val="00772A85"/>
    <w:rsid w:val="00772C6E"/>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8E5"/>
    <w:rsid w:val="007808F5"/>
    <w:rsid w:val="00780B6E"/>
    <w:rsid w:val="0078108A"/>
    <w:rsid w:val="00781390"/>
    <w:rsid w:val="007818C0"/>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C1B"/>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1FAB"/>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194"/>
    <w:rsid w:val="007B72B2"/>
    <w:rsid w:val="007B79F0"/>
    <w:rsid w:val="007B7BC6"/>
    <w:rsid w:val="007B7D13"/>
    <w:rsid w:val="007C06B4"/>
    <w:rsid w:val="007C1150"/>
    <w:rsid w:val="007C136B"/>
    <w:rsid w:val="007C1899"/>
    <w:rsid w:val="007C3DFD"/>
    <w:rsid w:val="007C4780"/>
    <w:rsid w:val="007C4AF2"/>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106C"/>
    <w:rsid w:val="007E131D"/>
    <w:rsid w:val="007E13DF"/>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0E9"/>
    <w:rsid w:val="007F3643"/>
    <w:rsid w:val="007F3AD8"/>
    <w:rsid w:val="007F4998"/>
    <w:rsid w:val="007F4C00"/>
    <w:rsid w:val="007F52A6"/>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74C"/>
    <w:rsid w:val="00825355"/>
    <w:rsid w:val="0082598F"/>
    <w:rsid w:val="00825ED2"/>
    <w:rsid w:val="008266AE"/>
    <w:rsid w:val="008267B1"/>
    <w:rsid w:val="008270DF"/>
    <w:rsid w:val="00827731"/>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1D9E"/>
    <w:rsid w:val="00842399"/>
    <w:rsid w:val="008429D9"/>
    <w:rsid w:val="00843061"/>
    <w:rsid w:val="008434DC"/>
    <w:rsid w:val="00843B71"/>
    <w:rsid w:val="00843CF3"/>
    <w:rsid w:val="00843E19"/>
    <w:rsid w:val="00843F00"/>
    <w:rsid w:val="00844059"/>
    <w:rsid w:val="00844166"/>
    <w:rsid w:val="00844412"/>
    <w:rsid w:val="008448CC"/>
    <w:rsid w:val="00844F51"/>
    <w:rsid w:val="00845061"/>
    <w:rsid w:val="00845466"/>
    <w:rsid w:val="008458F7"/>
    <w:rsid w:val="0084594E"/>
    <w:rsid w:val="00846581"/>
    <w:rsid w:val="00847135"/>
    <w:rsid w:val="00847492"/>
    <w:rsid w:val="008479D9"/>
    <w:rsid w:val="00847AE8"/>
    <w:rsid w:val="00850BE7"/>
    <w:rsid w:val="00851540"/>
    <w:rsid w:val="00851929"/>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0CE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1F58"/>
    <w:rsid w:val="00872B2D"/>
    <w:rsid w:val="00872F2F"/>
    <w:rsid w:val="00873416"/>
    <w:rsid w:val="00873995"/>
    <w:rsid w:val="00874433"/>
    <w:rsid w:val="0087462F"/>
    <w:rsid w:val="0087489E"/>
    <w:rsid w:val="00874A07"/>
    <w:rsid w:val="00875CDD"/>
    <w:rsid w:val="00876145"/>
    <w:rsid w:val="008762EB"/>
    <w:rsid w:val="008773E3"/>
    <w:rsid w:val="0087757C"/>
    <w:rsid w:val="00880693"/>
    <w:rsid w:val="0088074C"/>
    <w:rsid w:val="00881635"/>
    <w:rsid w:val="008825BF"/>
    <w:rsid w:val="00882802"/>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193"/>
    <w:rsid w:val="00895A68"/>
    <w:rsid w:val="0089667F"/>
    <w:rsid w:val="00896970"/>
    <w:rsid w:val="00896AA4"/>
    <w:rsid w:val="00896F58"/>
    <w:rsid w:val="008970B7"/>
    <w:rsid w:val="0089740B"/>
    <w:rsid w:val="008A0232"/>
    <w:rsid w:val="008A03DE"/>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5F42"/>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2C35"/>
    <w:rsid w:val="008D3F4C"/>
    <w:rsid w:val="008D455D"/>
    <w:rsid w:val="008D48DC"/>
    <w:rsid w:val="008D4CA2"/>
    <w:rsid w:val="008D548F"/>
    <w:rsid w:val="008D5653"/>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1ED8"/>
    <w:rsid w:val="008F21E5"/>
    <w:rsid w:val="008F2A8C"/>
    <w:rsid w:val="008F2E48"/>
    <w:rsid w:val="008F3016"/>
    <w:rsid w:val="008F3200"/>
    <w:rsid w:val="008F3438"/>
    <w:rsid w:val="008F3CAD"/>
    <w:rsid w:val="008F3DCA"/>
    <w:rsid w:val="008F40B1"/>
    <w:rsid w:val="008F4E42"/>
    <w:rsid w:val="008F54E5"/>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4E73"/>
    <w:rsid w:val="009155CD"/>
    <w:rsid w:val="00915C58"/>
    <w:rsid w:val="00915EB8"/>
    <w:rsid w:val="009161E2"/>
    <w:rsid w:val="009167A2"/>
    <w:rsid w:val="00916ACB"/>
    <w:rsid w:val="00916CF9"/>
    <w:rsid w:val="00916D76"/>
    <w:rsid w:val="00916FF8"/>
    <w:rsid w:val="00917279"/>
    <w:rsid w:val="00917AFE"/>
    <w:rsid w:val="00917CB4"/>
    <w:rsid w:val="009204A6"/>
    <w:rsid w:val="00920922"/>
    <w:rsid w:val="00920C2C"/>
    <w:rsid w:val="00920CDD"/>
    <w:rsid w:val="009220C0"/>
    <w:rsid w:val="00922606"/>
    <w:rsid w:val="00923000"/>
    <w:rsid w:val="009232C9"/>
    <w:rsid w:val="009235E5"/>
    <w:rsid w:val="00923C6F"/>
    <w:rsid w:val="00924197"/>
    <w:rsid w:val="009241CD"/>
    <w:rsid w:val="009246EA"/>
    <w:rsid w:val="00924E56"/>
    <w:rsid w:val="009258C2"/>
    <w:rsid w:val="00925BE8"/>
    <w:rsid w:val="00925E9E"/>
    <w:rsid w:val="0092743D"/>
    <w:rsid w:val="009274E5"/>
    <w:rsid w:val="009276C8"/>
    <w:rsid w:val="00927711"/>
    <w:rsid w:val="0092780E"/>
    <w:rsid w:val="00927D89"/>
    <w:rsid w:val="009304BE"/>
    <w:rsid w:val="00930751"/>
    <w:rsid w:val="00930A81"/>
    <w:rsid w:val="00931606"/>
    <w:rsid w:val="00931D25"/>
    <w:rsid w:val="0093241E"/>
    <w:rsid w:val="0093299F"/>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50"/>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CC8"/>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6F5F"/>
    <w:rsid w:val="00967147"/>
    <w:rsid w:val="0097030C"/>
    <w:rsid w:val="009708A2"/>
    <w:rsid w:val="00971B09"/>
    <w:rsid w:val="00972346"/>
    <w:rsid w:val="00972BAE"/>
    <w:rsid w:val="00972DD4"/>
    <w:rsid w:val="00973614"/>
    <w:rsid w:val="0097401E"/>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69A"/>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ABD"/>
    <w:rsid w:val="00997BEC"/>
    <w:rsid w:val="00997EDD"/>
    <w:rsid w:val="009A019A"/>
    <w:rsid w:val="009A0529"/>
    <w:rsid w:val="009A07BB"/>
    <w:rsid w:val="009A0903"/>
    <w:rsid w:val="009A0AF7"/>
    <w:rsid w:val="009A0C23"/>
    <w:rsid w:val="009A0CA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0E1D"/>
    <w:rsid w:val="009B147F"/>
    <w:rsid w:val="009B2035"/>
    <w:rsid w:val="009B2340"/>
    <w:rsid w:val="009B26E4"/>
    <w:rsid w:val="009B3627"/>
    <w:rsid w:val="009B3D28"/>
    <w:rsid w:val="009B43BB"/>
    <w:rsid w:val="009B5236"/>
    <w:rsid w:val="009B5636"/>
    <w:rsid w:val="009B5F8E"/>
    <w:rsid w:val="009B6EC5"/>
    <w:rsid w:val="009B710B"/>
    <w:rsid w:val="009C0495"/>
    <w:rsid w:val="009C0727"/>
    <w:rsid w:val="009C13D5"/>
    <w:rsid w:val="009C1B4C"/>
    <w:rsid w:val="009C1F9D"/>
    <w:rsid w:val="009C2F4D"/>
    <w:rsid w:val="009C42DB"/>
    <w:rsid w:val="009C49D5"/>
    <w:rsid w:val="009C50D9"/>
    <w:rsid w:val="009C54E3"/>
    <w:rsid w:val="009C5587"/>
    <w:rsid w:val="009C5A3F"/>
    <w:rsid w:val="009C5A92"/>
    <w:rsid w:val="009C5E48"/>
    <w:rsid w:val="009C6651"/>
    <w:rsid w:val="009C6917"/>
    <w:rsid w:val="009C7152"/>
    <w:rsid w:val="009C7A70"/>
    <w:rsid w:val="009D0245"/>
    <w:rsid w:val="009D054E"/>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0F4"/>
    <w:rsid w:val="009D6244"/>
    <w:rsid w:val="009D66BA"/>
    <w:rsid w:val="009D70D7"/>
    <w:rsid w:val="009D7E5C"/>
    <w:rsid w:val="009E0725"/>
    <w:rsid w:val="009E09BA"/>
    <w:rsid w:val="009E0EA6"/>
    <w:rsid w:val="009E1215"/>
    <w:rsid w:val="009E1E8A"/>
    <w:rsid w:val="009E1EC5"/>
    <w:rsid w:val="009E1F0C"/>
    <w:rsid w:val="009E1FE6"/>
    <w:rsid w:val="009E399B"/>
    <w:rsid w:val="009E3EA3"/>
    <w:rsid w:val="009E449B"/>
    <w:rsid w:val="009E4AD4"/>
    <w:rsid w:val="009E4C98"/>
    <w:rsid w:val="009E55A8"/>
    <w:rsid w:val="009E572C"/>
    <w:rsid w:val="009E6210"/>
    <w:rsid w:val="009E651C"/>
    <w:rsid w:val="009E6B0A"/>
    <w:rsid w:val="009E7858"/>
    <w:rsid w:val="009E7DBD"/>
    <w:rsid w:val="009E7EE6"/>
    <w:rsid w:val="009F02A9"/>
    <w:rsid w:val="009F0ADB"/>
    <w:rsid w:val="009F152E"/>
    <w:rsid w:val="009F1C56"/>
    <w:rsid w:val="009F2A75"/>
    <w:rsid w:val="009F2DDF"/>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B30"/>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467"/>
    <w:rsid w:val="00A157D0"/>
    <w:rsid w:val="00A15E51"/>
    <w:rsid w:val="00A16361"/>
    <w:rsid w:val="00A168D9"/>
    <w:rsid w:val="00A1691C"/>
    <w:rsid w:val="00A16F53"/>
    <w:rsid w:val="00A17178"/>
    <w:rsid w:val="00A171D9"/>
    <w:rsid w:val="00A17973"/>
    <w:rsid w:val="00A17C4E"/>
    <w:rsid w:val="00A203C1"/>
    <w:rsid w:val="00A207D7"/>
    <w:rsid w:val="00A2088F"/>
    <w:rsid w:val="00A2149B"/>
    <w:rsid w:val="00A21819"/>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1C5"/>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04A"/>
    <w:rsid w:val="00A5364F"/>
    <w:rsid w:val="00A546BB"/>
    <w:rsid w:val="00A548BE"/>
    <w:rsid w:val="00A550FF"/>
    <w:rsid w:val="00A5590B"/>
    <w:rsid w:val="00A56375"/>
    <w:rsid w:val="00A566E3"/>
    <w:rsid w:val="00A568C5"/>
    <w:rsid w:val="00A56E39"/>
    <w:rsid w:val="00A57369"/>
    <w:rsid w:val="00A574C0"/>
    <w:rsid w:val="00A60399"/>
    <w:rsid w:val="00A60548"/>
    <w:rsid w:val="00A60943"/>
    <w:rsid w:val="00A61402"/>
    <w:rsid w:val="00A616DE"/>
    <w:rsid w:val="00A6293D"/>
    <w:rsid w:val="00A62993"/>
    <w:rsid w:val="00A63AF3"/>
    <w:rsid w:val="00A63BB5"/>
    <w:rsid w:val="00A643D8"/>
    <w:rsid w:val="00A64E33"/>
    <w:rsid w:val="00A64E87"/>
    <w:rsid w:val="00A6590A"/>
    <w:rsid w:val="00A65C68"/>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E51"/>
    <w:rsid w:val="00A7103B"/>
    <w:rsid w:val="00A717BA"/>
    <w:rsid w:val="00A718EE"/>
    <w:rsid w:val="00A7203A"/>
    <w:rsid w:val="00A731CC"/>
    <w:rsid w:val="00A73D0E"/>
    <w:rsid w:val="00A74046"/>
    <w:rsid w:val="00A74C22"/>
    <w:rsid w:val="00A750D4"/>
    <w:rsid w:val="00A75579"/>
    <w:rsid w:val="00A756C4"/>
    <w:rsid w:val="00A770D2"/>
    <w:rsid w:val="00A804FB"/>
    <w:rsid w:val="00A805D7"/>
    <w:rsid w:val="00A80E5A"/>
    <w:rsid w:val="00A80FB8"/>
    <w:rsid w:val="00A8132F"/>
    <w:rsid w:val="00A814D0"/>
    <w:rsid w:val="00A81B15"/>
    <w:rsid w:val="00A81C35"/>
    <w:rsid w:val="00A81C58"/>
    <w:rsid w:val="00A825FA"/>
    <w:rsid w:val="00A82946"/>
    <w:rsid w:val="00A829DD"/>
    <w:rsid w:val="00A82A6D"/>
    <w:rsid w:val="00A83745"/>
    <w:rsid w:val="00A83E56"/>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089"/>
    <w:rsid w:val="00A943D4"/>
    <w:rsid w:val="00A94A47"/>
    <w:rsid w:val="00A94BA6"/>
    <w:rsid w:val="00A94BB7"/>
    <w:rsid w:val="00A9525F"/>
    <w:rsid w:val="00A95893"/>
    <w:rsid w:val="00A959BD"/>
    <w:rsid w:val="00A95C6B"/>
    <w:rsid w:val="00A95F63"/>
    <w:rsid w:val="00A97451"/>
    <w:rsid w:val="00A97875"/>
    <w:rsid w:val="00A97D2A"/>
    <w:rsid w:val="00A97F25"/>
    <w:rsid w:val="00AA0177"/>
    <w:rsid w:val="00AA0ACA"/>
    <w:rsid w:val="00AA0B59"/>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010"/>
    <w:rsid w:val="00AA7450"/>
    <w:rsid w:val="00AA7974"/>
    <w:rsid w:val="00AA7A65"/>
    <w:rsid w:val="00AA7CDA"/>
    <w:rsid w:val="00AB097C"/>
    <w:rsid w:val="00AB0D66"/>
    <w:rsid w:val="00AB1027"/>
    <w:rsid w:val="00AB11EF"/>
    <w:rsid w:val="00AB1739"/>
    <w:rsid w:val="00AB1C61"/>
    <w:rsid w:val="00AB1F6F"/>
    <w:rsid w:val="00AB1F76"/>
    <w:rsid w:val="00AB2136"/>
    <w:rsid w:val="00AB2741"/>
    <w:rsid w:val="00AB297C"/>
    <w:rsid w:val="00AB2E0B"/>
    <w:rsid w:val="00AB3DF3"/>
    <w:rsid w:val="00AB5C8C"/>
    <w:rsid w:val="00AB6545"/>
    <w:rsid w:val="00AB6DCA"/>
    <w:rsid w:val="00AB6E69"/>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4EC"/>
    <w:rsid w:val="00AC498A"/>
    <w:rsid w:val="00AC4BEF"/>
    <w:rsid w:val="00AC4FD7"/>
    <w:rsid w:val="00AC5074"/>
    <w:rsid w:val="00AC5B7C"/>
    <w:rsid w:val="00AC5DE4"/>
    <w:rsid w:val="00AC5EF5"/>
    <w:rsid w:val="00AC5EFD"/>
    <w:rsid w:val="00AC5F6E"/>
    <w:rsid w:val="00AC66AC"/>
    <w:rsid w:val="00AC70B9"/>
    <w:rsid w:val="00AC77FD"/>
    <w:rsid w:val="00AD00D4"/>
    <w:rsid w:val="00AD0375"/>
    <w:rsid w:val="00AD0868"/>
    <w:rsid w:val="00AD0E64"/>
    <w:rsid w:val="00AD2584"/>
    <w:rsid w:val="00AD2C3F"/>
    <w:rsid w:val="00AD3759"/>
    <w:rsid w:val="00AD527B"/>
    <w:rsid w:val="00AD6088"/>
    <w:rsid w:val="00AD67AF"/>
    <w:rsid w:val="00AD6BD7"/>
    <w:rsid w:val="00AD7469"/>
    <w:rsid w:val="00AD7B41"/>
    <w:rsid w:val="00AD7D79"/>
    <w:rsid w:val="00AE0755"/>
    <w:rsid w:val="00AE212A"/>
    <w:rsid w:val="00AE238E"/>
    <w:rsid w:val="00AE2A73"/>
    <w:rsid w:val="00AE2ADB"/>
    <w:rsid w:val="00AE3123"/>
    <w:rsid w:val="00AE31F9"/>
    <w:rsid w:val="00AE35B4"/>
    <w:rsid w:val="00AE47BB"/>
    <w:rsid w:val="00AE482B"/>
    <w:rsid w:val="00AE4B65"/>
    <w:rsid w:val="00AE5070"/>
    <w:rsid w:val="00AE524A"/>
    <w:rsid w:val="00AE5297"/>
    <w:rsid w:val="00AE578C"/>
    <w:rsid w:val="00AE5981"/>
    <w:rsid w:val="00AE75BC"/>
    <w:rsid w:val="00AE78E1"/>
    <w:rsid w:val="00AE79A8"/>
    <w:rsid w:val="00AE7D0F"/>
    <w:rsid w:val="00AF09F4"/>
    <w:rsid w:val="00AF0E70"/>
    <w:rsid w:val="00AF11BD"/>
    <w:rsid w:val="00AF15BD"/>
    <w:rsid w:val="00AF1D39"/>
    <w:rsid w:val="00AF2E94"/>
    <w:rsid w:val="00AF2EAD"/>
    <w:rsid w:val="00AF2EBF"/>
    <w:rsid w:val="00AF3378"/>
    <w:rsid w:val="00AF3EEF"/>
    <w:rsid w:val="00AF4479"/>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418"/>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DC8"/>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57DC"/>
    <w:rsid w:val="00B25A4F"/>
    <w:rsid w:val="00B26901"/>
    <w:rsid w:val="00B27B92"/>
    <w:rsid w:val="00B27BDE"/>
    <w:rsid w:val="00B27F9F"/>
    <w:rsid w:val="00B300C3"/>
    <w:rsid w:val="00B3089C"/>
    <w:rsid w:val="00B30B71"/>
    <w:rsid w:val="00B31D65"/>
    <w:rsid w:val="00B3231E"/>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3E6"/>
    <w:rsid w:val="00B43A48"/>
    <w:rsid w:val="00B43E4A"/>
    <w:rsid w:val="00B440CF"/>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17"/>
    <w:rsid w:val="00B52686"/>
    <w:rsid w:val="00B5285F"/>
    <w:rsid w:val="00B52DD8"/>
    <w:rsid w:val="00B530F3"/>
    <w:rsid w:val="00B531C5"/>
    <w:rsid w:val="00B53DB0"/>
    <w:rsid w:val="00B54B92"/>
    <w:rsid w:val="00B57E36"/>
    <w:rsid w:val="00B6046B"/>
    <w:rsid w:val="00B604D4"/>
    <w:rsid w:val="00B6068B"/>
    <w:rsid w:val="00B607C0"/>
    <w:rsid w:val="00B609D8"/>
    <w:rsid w:val="00B61C74"/>
    <w:rsid w:val="00B628E1"/>
    <w:rsid w:val="00B62BDC"/>
    <w:rsid w:val="00B62CD7"/>
    <w:rsid w:val="00B62D21"/>
    <w:rsid w:val="00B6460F"/>
    <w:rsid w:val="00B647C2"/>
    <w:rsid w:val="00B64D78"/>
    <w:rsid w:val="00B64E5F"/>
    <w:rsid w:val="00B64F58"/>
    <w:rsid w:val="00B65B4D"/>
    <w:rsid w:val="00B65C4B"/>
    <w:rsid w:val="00B66375"/>
    <w:rsid w:val="00B6644A"/>
    <w:rsid w:val="00B664FC"/>
    <w:rsid w:val="00B66CF3"/>
    <w:rsid w:val="00B66F75"/>
    <w:rsid w:val="00B67E76"/>
    <w:rsid w:val="00B70A76"/>
    <w:rsid w:val="00B7138C"/>
    <w:rsid w:val="00B72376"/>
    <w:rsid w:val="00B7341C"/>
    <w:rsid w:val="00B7370E"/>
    <w:rsid w:val="00B73AD6"/>
    <w:rsid w:val="00B74399"/>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19E"/>
    <w:rsid w:val="00B85AAD"/>
    <w:rsid w:val="00B85CF8"/>
    <w:rsid w:val="00B85DD8"/>
    <w:rsid w:val="00B85EF6"/>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0C12"/>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0ED3"/>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1F5"/>
    <w:rsid w:val="00BC4983"/>
    <w:rsid w:val="00BC5034"/>
    <w:rsid w:val="00BC5A70"/>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5DDB"/>
    <w:rsid w:val="00BE6641"/>
    <w:rsid w:val="00BE73A4"/>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9D5"/>
    <w:rsid w:val="00BF5AFA"/>
    <w:rsid w:val="00BF5B5D"/>
    <w:rsid w:val="00BF5D84"/>
    <w:rsid w:val="00BF5E69"/>
    <w:rsid w:val="00BF61CA"/>
    <w:rsid w:val="00BF6AA1"/>
    <w:rsid w:val="00BF6C07"/>
    <w:rsid w:val="00BF6D18"/>
    <w:rsid w:val="00BF6F01"/>
    <w:rsid w:val="00BF6F76"/>
    <w:rsid w:val="00BF772C"/>
    <w:rsid w:val="00BF7E84"/>
    <w:rsid w:val="00BF7F45"/>
    <w:rsid w:val="00C004A0"/>
    <w:rsid w:val="00C00645"/>
    <w:rsid w:val="00C00B96"/>
    <w:rsid w:val="00C00BBE"/>
    <w:rsid w:val="00C01160"/>
    <w:rsid w:val="00C02377"/>
    <w:rsid w:val="00C02E33"/>
    <w:rsid w:val="00C03272"/>
    <w:rsid w:val="00C032E2"/>
    <w:rsid w:val="00C0387D"/>
    <w:rsid w:val="00C038BD"/>
    <w:rsid w:val="00C03AD0"/>
    <w:rsid w:val="00C04DA4"/>
    <w:rsid w:val="00C04EBA"/>
    <w:rsid w:val="00C05317"/>
    <w:rsid w:val="00C05ED7"/>
    <w:rsid w:val="00C0637A"/>
    <w:rsid w:val="00C06FC1"/>
    <w:rsid w:val="00C10BE1"/>
    <w:rsid w:val="00C10BF4"/>
    <w:rsid w:val="00C10DD7"/>
    <w:rsid w:val="00C10E09"/>
    <w:rsid w:val="00C116E7"/>
    <w:rsid w:val="00C120D4"/>
    <w:rsid w:val="00C120DC"/>
    <w:rsid w:val="00C12A1D"/>
    <w:rsid w:val="00C12C3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16F"/>
    <w:rsid w:val="00C21477"/>
    <w:rsid w:val="00C230E0"/>
    <w:rsid w:val="00C2366B"/>
    <w:rsid w:val="00C23740"/>
    <w:rsid w:val="00C24F13"/>
    <w:rsid w:val="00C24F3F"/>
    <w:rsid w:val="00C26D91"/>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73"/>
    <w:rsid w:val="00C37886"/>
    <w:rsid w:val="00C37CD2"/>
    <w:rsid w:val="00C37FDA"/>
    <w:rsid w:val="00C41018"/>
    <w:rsid w:val="00C411DE"/>
    <w:rsid w:val="00C4127F"/>
    <w:rsid w:val="00C416E5"/>
    <w:rsid w:val="00C41777"/>
    <w:rsid w:val="00C41831"/>
    <w:rsid w:val="00C41A1A"/>
    <w:rsid w:val="00C41A8F"/>
    <w:rsid w:val="00C4258A"/>
    <w:rsid w:val="00C426F6"/>
    <w:rsid w:val="00C434AB"/>
    <w:rsid w:val="00C4399C"/>
    <w:rsid w:val="00C43AF0"/>
    <w:rsid w:val="00C444BD"/>
    <w:rsid w:val="00C445E7"/>
    <w:rsid w:val="00C458C4"/>
    <w:rsid w:val="00C47FB1"/>
    <w:rsid w:val="00C501BE"/>
    <w:rsid w:val="00C50DB6"/>
    <w:rsid w:val="00C51833"/>
    <w:rsid w:val="00C51F3E"/>
    <w:rsid w:val="00C528EB"/>
    <w:rsid w:val="00C52BDA"/>
    <w:rsid w:val="00C52EB5"/>
    <w:rsid w:val="00C533C3"/>
    <w:rsid w:val="00C53EFD"/>
    <w:rsid w:val="00C54110"/>
    <w:rsid w:val="00C54648"/>
    <w:rsid w:val="00C54AB5"/>
    <w:rsid w:val="00C54F1B"/>
    <w:rsid w:val="00C54F91"/>
    <w:rsid w:val="00C5574E"/>
    <w:rsid w:val="00C559F4"/>
    <w:rsid w:val="00C55A94"/>
    <w:rsid w:val="00C55E2F"/>
    <w:rsid w:val="00C560C0"/>
    <w:rsid w:val="00C568F9"/>
    <w:rsid w:val="00C56936"/>
    <w:rsid w:val="00C56C34"/>
    <w:rsid w:val="00C56CA7"/>
    <w:rsid w:val="00C56CCF"/>
    <w:rsid w:val="00C56F1B"/>
    <w:rsid w:val="00C575C8"/>
    <w:rsid w:val="00C61EC4"/>
    <w:rsid w:val="00C63183"/>
    <w:rsid w:val="00C64D38"/>
    <w:rsid w:val="00C65886"/>
    <w:rsid w:val="00C65B38"/>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F0D"/>
    <w:rsid w:val="00C9698B"/>
    <w:rsid w:val="00C96BA3"/>
    <w:rsid w:val="00C973E3"/>
    <w:rsid w:val="00CA0B79"/>
    <w:rsid w:val="00CA1920"/>
    <w:rsid w:val="00CA1A8C"/>
    <w:rsid w:val="00CA1C8E"/>
    <w:rsid w:val="00CA2186"/>
    <w:rsid w:val="00CA2903"/>
    <w:rsid w:val="00CA2BB4"/>
    <w:rsid w:val="00CA33CA"/>
    <w:rsid w:val="00CA3AD8"/>
    <w:rsid w:val="00CA40AD"/>
    <w:rsid w:val="00CA4AAD"/>
    <w:rsid w:val="00CA4B27"/>
    <w:rsid w:val="00CA4F52"/>
    <w:rsid w:val="00CA5E21"/>
    <w:rsid w:val="00CA6149"/>
    <w:rsid w:val="00CA631D"/>
    <w:rsid w:val="00CA6F40"/>
    <w:rsid w:val="00CA7457"/>
    <w:rsid w:val="00CB044C"/>
    <w:rsid w:val="00CB0504"/>
    <w:rsid w:val="00CB0CB9"/>
    <w:rsid w:val="00CB1616"/>
    <w:rsid w:val="00CB1619"/>
    <w:rsid w:val="00CB1957"/>
    <w:rsid w:val="00CB2098"/>
    <w:rsid w:val="00CB2210"/>
    <w:rsid w:val="00CB2C48"/>
    <w:rsid w:val="00CB3B71"/>
    <w:rsid w:val="00CB4372"/>
    <w:rsid w:val="00CB4C18"/>
    <w:rsid w:val="00CB5803"/>
    <w:rsid w:val="00CB5A7C"/>
    <w:rsid w:val="00CB5B74"/>
    <w:rsid w:val="00CB655D"/>
    <w:rsid w:val="00CB67BD"/>
    <w:rsid w:val="00CB6B99"/>
    <w:rsid w:val="00CB72BF"/>
    <w:rsid w:val="00CB7311"/>
    <w:rsid w:val="00CB7697"/>
    <w:rsid w:val="00CC056D"/>
    <w:rsid w:val="00CC05FC"/>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125C"/>
    <w:rsid w:val="00CD1263"/>
    <w:rsid w:val="00CD1693"/>
    <w:rsid w:val="00CD230D"/>
    <w:rsid w:val="00CD2614"/>
    <w:rsid w:val="00CD26E8"/>
    <w:rsid w:val="00CD2AC0"/>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0F40"/>
    <w:rsid w:val="00CE2CA6"/>
    <w:rsid w:val="00CE2D3E"/>
    <w:rsid w:val="00CE2F70"/>
    <w:rsid w:val="00CE3B5E"/>
    <w:rsid w:val="00CE3C2C"/>
    <w:rsid w:val="00CE3D08"/>
    <w:rsid w:val="00CE4339"/>
    <w:rsid w:val="00CE4360"/>
    <w:rsid w:val="00CE47CA"/>
    <w:rsid w:val="00CE51C3"/>
    <w:rsid w:val="00CE5991"/>
    <w:rsid w:val="00CE5CB0"/>
    <w:rsid w:val="00CE5FBD"/>
    <w:rsid w:val="00CE6E22"/>
    <w:rsid w:val="00CE7861"/>
    <w:rsid w:val="00CE7B9B"/>
    <w:rsid w:val="00CF084D"/>
    <w:rsid w:val="00CF09A3"/>
    <w:rsid w:val="00CF0DA8"/>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6CC3"/>
    <w:rsid w:val="00CF723A"/>
    <w:rsid w:val="00CF7497"/>
    <w:rsid w:val="00CF74E1"/>
    <w:rsid w:val="00D00480"/>
    <w:rsid w:val="00D0086A"/>
    <w:rsid w:val="00D01295"/>
    <w:rsid w:val="00D0197A"/>
    <w:rsid w:val="00D0231F"/>
    <w:rsid w:val="00D03276"/>
    <w:rsid w:val="00D03446"/>
    <w:rsid w:val="00D03687"/>
    <w:rsid w:val="00D04549"/>
    <w:rsid w:val="00D048AC"/>
    <w:rsid w:val="00D04A66"/>
    <w:rsid w:val="00D04EE3"/>
    <w:rsid w:val="00D0547C"/>
    <w:rsid w:val="00D05A02"/>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4EC6"/>
    <w:rsid w:val="00D15402"/>
    <w:rsid w:val="00D156C7"/>
    <w:rsid w:val="00D1584D"/>
    <w:rsid w:val="00D174AE"/>
    <w:rsid w:val="00D174B4"/>
    <w:rsid w:val="00D17700"/>
    <w:rsid w:val="00D1774E"/>
    <w:rsid w:val="00D20907"/>
    <w:rsid w:val="00D21363"/>
    <w:rsid w:val="00D21C76"/>
    <w:rsid w:val="00D21EC1"/>
    <w:rsid w:val="00D22A76"/>
    <w:rsid w:val="00D22E24"/>
    <w:rsid w:val="00D23219"/>
    <w:rsid w:val="00D232A9"/>
    <w:rsid w:val="00D23701"/>
    <w:rsid w:val="00D23940"/>
    <w:rsid w:val="00D23A8C"/>
    <w:rsid w:val="00D24663"/>
    <w:rsid w:val="00D24D0D"/>
    <w:rsid w:val="00D24EC1"/>
    <w:rsid w:val="00D25310"/>
    <w:rsid w:val="00D26368"/>
    <w:rsid w:val="00D26A97"/>
    <w:rsid w:val="00D26B9D"/>
    <w:rsid w:val="00D26DD0"/>
    <w:rsid w:val="00D277EB"/>
    <w:rsid w:val="00D31C83"/>
    <w:rsid w:val="00D321E1"/>
    <w:rsid w:val="00D331B6"/>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2EAB"/>
    <w:rsid w:val="00D4313E"/>
    <w:rsid w:val="00D43356"/>
    <w:rsid w:val="00D43C41"/>
    <w:rsid w:val="00D43D10"/>
    <w:rsid w:val="00D440A3"/>
    <w:rsid w:val="00D445A3"/>
    <w:rsid w:val="00D449ED"/>
    <w:rsid w:val="00D44A4A"/>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051"/>
    <w:rsid w:val="00D57124"/>
    <w:rsid w:val="00D57396"/>
    <w:rsid w:val="00D57DFA"/>
    <w:rsid w:val="00D57E89"/>
    <w:rsid w:val="00D6007D"/>
    <w:rsid w:val="00D60119"/>
    <w:rsid w:val="00D60243"/>
    <w:rsid w:val="00D60856"/>
    <w:rsid w:val="00D60B2B"/>
    <w:rsid w:val="00D60F93"/>
    <w:rsid w:val="00D61388"/>
    <w:rsid w:val="00D6153E"/>
    <w:rsid w:val="00D6258D"/>
    <w:rsid w:val="00D62A4F"/>
    <w:rsid w:val="00D62D8D"/>
    <w:rsid w:val="00D639F0"/>
    <w:rsid w:val="00D63D6E"/>
    <w:rsid w:val="00D642E1"/>
    <w:rsid w:val="00D646A1"/>
    <w:rsid w:val="00D64952"/>
    <w:rsid w:val="00D64E04"/>
    <w:rsid w:val="00D650CB"/>
    <w:rsid w:val="00D6527F"/>
    <w:rsid w:val="00D655B7"/>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624"/>
    <w:rsid w:val="00D73DDE"/>
    <w:rsid w:val="00D73F4B"/>
    <w:rsid w:val="00D73FD9"/>
    <w:rsid w:val="00D748E4"/>
    <w:rsid w:val="00D752BE"/>
    <w:rsid w:val="00D752F5"/>
    <w:rsid w:val="00D760B2"/>
    <w:rsid w:val="00D761EB"/>
    <w:rsid w:val="00D761F4"/>
    <w:rsid w:val="00D76922"/>
    <w:rsid w:val="00D77465"/>
    <w:rsid w:val="00D7749D"/>
    <w:rsid w:val="00D77589"/>
    <w:rsid w:val="00D775DC"/>
    <w:rsid w:val="00D77604"/>
    <w:rsid w:val="00D7785D"/>
    <w:rsid w:val="00D80014"/>
    <w:rsid w:val="00D8017A"/>
    <w:rsid w:val="00D80305"/>
    <w:rsid w:val="00D80465"/>
    <w:rsid w:val="00D80705"/>
    <w:rsid w:val="00D810BA"/>
    <w:rsid w:val="00D8160D"/>
    <w:rsid w:val="00D81829"/>
    <w:rsid w:val="00D81FCB"/>
    <w:rsid w:val="00D828FF"/>
    <w:rsid w:val="00D836CA"/>
    <w:rsid w:val="00D83B8C"/>
    <w:rsid w:val="00D844E3"/>
    <w:rsid w:val="00D847B9"/>
    <w:rsid w:val="00D84F2C"/>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3EF3"/>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4AF6"/>
    <w:rsid w:val="00DA51CB"/>
    <w:rsid w:val="00DA627E"/>
    <w:rsid w:val="00DA6B4A"/>
    <w:rsid w:val="00DA7D98"/>
    <w:rsid w:val="00DB0F0F"/>
    <w:rsid w:val="00DB1AB4"/>
    <w:rsid w:val="00DB1CB4"/>
    <w:rsid w:val="00DB24A1"/>
    <w:rsid w:val="00DB24A2"/>
    <w:rsid w:val="00DB2FFB"/>
    <w:rsid w:val="00DB37AE"/>
    <w:rsid w:val="00DB39B1"/>
    <w:rsid w:val="00DB3A3F"/>
    <w:rsid w:val="00DB4489"/>
    <w:rsid w:val="00DB4495"/>
    <w:rsid w:val="00DB44E1"/>
    <w:rsid w:val="00DB51C6"/>
    <w:rsid w:val="00DB61B9"/>
    <w:rsid w:val="00DB662D"/>
    <w:rsid w:val="00DB7F0B"/>
    <w:rsid w:val="00DC08F5"/>
    <w:rsid w:val="00DC1A15"/>
    <w:rsid w:val="00DC1BE7"/>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5C0"/>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1443"/>
    <w:rsid w:val="00DF1585"/>
    <w:rsid w:val="00DF1AA9"/>
    <w:rsid w:val="00DF1B9B"/>
    <w:rsid w:val="00DF2176"/>
    <w:rsid w:val="00DF228C"/>
    <w:rsid w:val="00DF40F9"/>
    <w:rsid w:val="00DF416D"/>
    <w:rsid w:val="00DF4324"/>
    <w:rsid w:val="00DF4C90"/>
    <w:rsid w:val="00DF4DED"/>
    <w:rsid w:val="00DF552C"/>
    <w:rsid w:val="00DF58BB"/>
    <w:rsid w:val="00DF70BB"/>
    <w:rsid w:val="00DF74C4"/>
    <w:rsid w:val="00DF75BF"/>
    <w:rsid w:val="00DF7946"/>
    <w:rsid w:val="00E004A3"/>
    <w:rsid w:val="00E006F3"/>
    <w:rsid w:val="00E00C94"/>
    <w:rsid w:val="00E01170"/>
    <w:rsid w:val="00E015D4"/>
    <w:rsid w:val="00E01BB0"/>
    <w:rsid w:val="00E037B3"/>
    <w:rsid w:val="00E042FA"/>
    <w:rsid w:val="00E04577"/>
    <w:rsid w:val="00E046ED"/>
    <w:rsid w:val="00E049F5"/>
    <w:rsid w:val="00E0546C"/>
    <w:rsid w:val="00E05E9D"/>
    <w:rsid w:val="00E05F6B"/>
    <w:rsid w:val="00E068DB"/>
    <w:rsid w:val="00E06902"/>
    <w:rsid w:val="00E0696B"/>
    <w:rsid w:val="00E06F66"/>
    <w:rsid w:val="00E06FCE"/>
    <w:rsid w:val="00E07126"/>
    <w:rsid w:val="00E075E2"/>
    <w:rsid w:val="00E0765C"/>
    <w:rsid w:val="00E101A7"/>
    <w:rsid w:val="00E1039D"/>
    <w:rsid w:val="00E11E28"/>
    <w:rsid w:val="00E12065"/>
    <w:rsid w:val="00E1223A"/>
    <w:rsid w:val="00E12583"/>
    <w:rsid w:val="00E1284D"/>
    <w:rsid w:val="00E129E9"/>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546"/>
    <w:rsid w:val="00E23E47"/>
    <w:rsid w:val="00E23F7B"/>
    <w:rsid w:val="00E245AE"/>
    <w:rsid w:val="00E248DE"/>
    <w:rsid w:val="00E251F9"/>
    <w:rsid w:val="00E254B7"/>
    <w:rsid w:val="00E25955"/>
    <w:rsid w:val="00E25C1A"/>
    <w:rsid w:val="00E261EF"/>
    <w:rsid w:val="00E26271"/>
    <w:rsid w:val="00E26BD7"/>
    <w:rsid w:val="00E32650"/>
    <w:rsid w:val="00E3277A"/>
    <w:rsid w:val="00E33F20"/>
    <w:rsid w:val="00E34D20"/>
    <w:rsid w:val="00E34F1A"/>
    <w:rsid w:val="00E35051"/>
    <w:rsid w:val="00E35097"/>
    <w:rsid w:val="00E35A68"/>
    <w:rsid w:val="00E36E60"/>
    <w:rsid w:val="00E3737D"/>
    <w:rsid w:val="00E376ED"/>
    <w:rsid w:val="00E37BDE"/>
    <w:rsid w:val="00E403CB"/>
    <w:rsid w:val="00E405D1"/>
    <w:rsid w:val="00E406FB"/>
    <w:rsid w:val="00E40DCA"/>
    <w:rsid w:val="00E40E15"/>
    <w:rsid w:val="00E42696"/>
    <w:rsid w:val="00E4364B"/>
    <w:rsid w:val="00E43849"/>
    <w:rsid w:val="00E44069"/>
    <w:rsid w:val="00E440D5"/>
    <w:rsid w:val="00E44311"/>
    <w:rsid w:val="00E4455E"/>
    <w:rsid w:val="00E4527A"/>
    <w:rsid w:val="00E45431"/>
    <w:rsid w:val="00E459BD"/>
    <w:rsid w:val="00E45BE2"/>
    <w:rsid w:val="00E45F4B"/>
    <w:rsid w:val="00E45F97"/>
    <w:rsid w:val="00E466B1"/>
    <w:rsid w:val="00E4690B"/>
    <w:rsid w:val="00E47724"/>
    <w:rsid w:val="00E47805"/>
    <w:rsid w:val="00E47B8D"/>
    <w:rsid w:val="00E50760"/>
    <w:rsid w:val="00E5091C"/>
    <w:rsid w:val="00E50A19"/>
    <w:rsid w:val="00E50C66"/>
    <w:rsid w:val="00E51485"/>
    <w:rsid w:val="00E52580"/>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122"/>
    <w:rsid w:val="00E73307"/>
    <w:rsid w:val="00E7357D"/>
    <w:rsid w:val="00E74022"/>
    <w:rsid w:val="00E74CB9"/>
    <w:rsid w:val="00E74D03"/>
    <w:rsid w:val="00E74D1D"/>
    <w:rsid w:val="00E75102"/>
    <w:rsid w:val="00E75791"/>
    <w:rsid w:val="00E75DE6"/>
    <w:rsid w:val="00E762BB"/>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1BE2"/>
    <w:rsid w:val="00E91E6C"/>
    <w:rsid w:val="00E920D8"/>
    <w:rsid w:val="00E92846"/>
    <w:rsid w:val="00E93037"/>
    <w:rsid w:val="00E9335D"/>
    <w:rsid w:val="00E93697"/>
    <w:rsid w:val="00E93A1C"/>
    <w:rsid w:val="00E94077"/>
    <w:rsid w:val="00E94B4C"/>
    <w:rsid w:val="00E95081"/>
    <w:rsid w:val="00E95808"/>
    <w:rsid w:val="00E96E14"/>
    <w:rsid w:val="00E96F96"/>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AB"/>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1F6F"/>
    <w:rsid w:val="00EC29BD"/>
    <w:rsid w:val="00EC2ADA"/>
    <w:rsid w:val="00EC2C73"/>
    <w:rsid w:val="00EC3891"/>
    <w:rsid w:val="00EC3E7D"/>
    <w:rsid w:val="00EC52B6"/>
    <w:rsid w:val="00EC565F"/>
    <w:rsid w:val="00EC6CF4"/>
    <w:rsid w:val="00EC6E71"/>
    <w:rsid w:val="00EC7418"/>
    <w:rsid w:val="00EC7BA6"/>
    <w:rsid w:val="00ED066D"/>
    <w:rsid w:val="00ED12B7"/>
    <w:rsid w:val="00ED1FFA"/>
    <w:rsid w:val="00ED20B6"/>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25"/>
    <w:rsid w:val="00EE15C1"/>
    <w:rsid w:val="00EE1D9B"/>
    <w:rsid w:val="00EE1EE0"/>
    <w:rsid w:val="00EE1F67"/>
    <w:rsid w:val="00EE2168"/>
    <w:rsid w:val="00EE223F"/>
    <w:rsid w:val="00EE2310"/>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4D5"/>
    <w:rsid w:val="00EF566C"/>
    <w:rsid w:val="00EF575B"/>
    <w:rsid w:val="00EF5DA7"/>
    <w:rsid w:val="00EF69DC"/>
    <w:rsid w:val="00EF799C"/>
    <w:rsid w:val="00EF7B77"/>
    <w:rsid w:val="00EF7CA3"/>
    <w:rsid w:val="00F001FA"/>
    <w:rsid w:val="00F00E95"/>
    <w:rsid w:val="00F01E97"/>
    <w:rsid w:val="00F02343"/>
    <w:rsid w:val="00F02B54"/>
    <w:rsid w:val="00F02CCB"/>
    <w:rsid w:val="00F031EF"/>
    <w:rsid w:val="00F0341E"/>
    <w:rsid w:val="00F03452"/>
    <w:rsid w:val="00F035EB"/>
    <w:rsid w:val="00F03F14"/>
    <w:rsid w:val="00F04044"/>
    <w:rsid w:val="00F045AC"/>
    <w:rsid w:val="00F049C2"/>
    <w:rsid w:val="00F04AB5"/>
    <w:rsid w:val="00F04CBA"/>
    <w:rsid w:val="00F04E39"/>
    <w:rsid w:val="00F04F57"/>
    <w:rsid w:val="00F050F4"/>
    <w:rsid w:val="00F0537A"/>
    <w:rsid w:val="00F05712"/>
    <w:rsid w:val="00F0590C"/>
    <w:rsid w:val="00F05D0B"/>
    <w:rsid w:val="00F05F19"/>
    <w:rsid w:val="00F072D8"/>
    <w:rsid w:val="00F077BB"/>
    <w:rsid w:val="00F10DF7"/>
    <w:rsid w:val="00F11EF9"/>
    <w:rsid w:val="00F11FEF"/>
    <w:rsid w:val="00F1215D"/>
    <w:rsid w:val="00F129F3"/>
    <w:rsid w:val="00F13892"/>
    <w:rsid w:val="00F1477C"/>
    <w:rsid w:val="00F14DCA"/>
    <w:rsid w:val="00F156B0"/>
    <w:rsid w:val="00F15877"/>
    <w:rsid w:val="00F1669B"/>
    <w:rsid w:val="00F16AA9"/>
    <w:rsid w:val="00F172F3"/>
    <w:rsid w:val="00F1799A"/>
    <w:rsid w:val="00F17CCE"/>
    <w:rsid w:val="00F20101"/>
    <w:rsid w:val="00F2068E"/>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0F92"/>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D2B"/>
    <w:rsid w:val="00F40EFE"/>
    <w:rsid w:val="00F410EA"/>
    <w:rsid w:val="00F41305"/>
    <w:rsid w:val="00F415BB"/>
    <w:rsid w:val="00F423BC"/>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0DFE"/>
    <w:rsid w:val="00F51500"/>
    <w:rsid w:val="00F5165E"/>
    <w:rsid w:val="00F51869"/>
    <w:rsid w:val="00F523B3"/>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12"/>
    <w:rsid w:val="00F63F64"/>
    <w:rsid w:val="00F641AE"/>
    <w:rsid w:val="00F64202"/>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5FF7"/>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3FDA"/>
    <w:rsid w:val="00F94466"/>
    <w:rsid w:val="00F9469B"/>
    <w:rsid w:val="00F9481B"/>
    <w:rsid w:val="00F95991"/>
    <w:rsid w:val="00F95BC3"/>
    <w:rsid w:val="00F96312"/>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3C0"/>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65C"/>
    <w:rsid w:val="00FB3C79"/>
    <w:rsid w:val="00FB42DC"/>
    <w:rsid w:val="00FB50AF"/>
    <w:rsid w:val="00FB545C"/>
    <w:rsid w:val="00FB5961"/>
    <w:rsid w:val="00FB63D1"/>
    <w:rsid w:val="00FB6EA3"/>
    <w:rsid w:val="00FB7738"/>
    <w:rsid w:val="00FB7771"/>
    <w:rsid w:val="00FB7B92"/>
    <w:rsid w:val="00FB7BF4"/>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4F6A"/>
    <w:rsid w:val="00FD5595"/>
    <w:rsid w:val="00FD5917"/>
    <w:rsid w:val="00FD63E5"/>
    <w:rsid w:val="00FD7460"/>
    <w:rsid w:val="00FD769A"/>
    <w:rsid w:val="00FD7730"/>
    <w:rsid w:val="00FD7B22"/>
    <w:rsid w:val="00FD7DF5"/>
    <w:rsid w:val="00FE0E3F"/>
    <w:rsid w:val="00FE0FD9"/>
    <w:rsid w:val="00FE13CE"/>
    <w:rsid w:val="00FE1ED2"/>
    <w:rsid w:val="00FE2835"/>
    <w:rsid w:val="00FE2A6A"/>
    <w:rsid w:val="00FE30D7"/>
    <w:rsid w:val="00FE3C4C"/>
    <w:rsid w:val="00FE58F8"/>
    <w:rsid w:val="00FE5B39"/>
    <w:rsid w:val="00FE6C93"/>
    <w:rsid w:val="00FE709C"/>
    <w:rsid w:val="00FE72D6"/>
    <w:rsid w:val="00FE76DD"/>
    <w:rsid w:val="00FE7ADC"/>
    <w:rsid w:val="00FE7E30"/>
    <w:rsid w:val="00FF05B5"/>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5D79"/>
    <w:rsid w:val="00FF65A2"/>
    <w:rsid w:val="00FF6692"/>
    <w:rsid w:val="00FF6720"/>
    <w:rsid w:val="00FF68EA"/>
    <w:rsid w:val="00FF6A93"/>
    <w:rsid w:val="00FF6ADC"/>
    <w:rsid w:val="00FF7F78"/>
    <w:rsid w:val="02B92A50"/>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336CCAD"/>
  <w15:docId w15:val="{9CC79397-CBA5-C64A-91AD-4D6E8D89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04A"/>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widowControl w:val="0"/>
      <w:spacing w:after="120"/>
      <w:ind w:left="1701" w:hanging="1701"/>
    </w:pPr>
    <w:rPr>
      <w:rFonts w:ascii="Arial" w:eastAsiaTheme="minorEastAsia" w:hAnsi="Arial" w:cstheme="minorBidi"/>
      <w:b/>
      <w:kern w:val="2"/>
      <w:sz w:val="21"/>
      <w:szCs w:val="22"/>
      <w:lang w:val="en-US" w:eastAsia="zh-CN"/>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rPr>
      <w:rFonts w:ascii="Arial" w:hAnsi="Arial"/>
      <w:sz w:val="24"/>
      <w:lang w:val="en-GB" w:eastAsia="en-US"/>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style>
  <w:style w:type="character" w:customStyle="1" w:styleId="eop">
    <w:name w:val="eop"/>
    <w:basedOn w:val="DefaultParagraphFont"/>
    <w:qFormat/>
  </w:style>
  <w:style w:type="paragraph" w:customStyle="1" w:styleId="Default">
    <w:name w:val="Default"/>
    <w:qFormat/>
    <w:pPr>
      <w:autoSpaceDE w:val="0"/>
      <w:autoSpaceDN w:val="0"/>
      <w:adjustRightInd w:val="0"/>
    </w:pPr>
    <w:rPr>
      <w:rFonts w:eastAsia="SimSun"/>
      <w:color w:val="000000"/>
      <w:sz w:val="24"/>
      <w:szCs w:val="24"/>
      <w:lang w:val="en-US" w:eastAsia="zh-CN"/>
    </w:rPr>
  </w:style>
  <w:style w:type="paragraph" w:customStyle="1" w:styleId="Style2">
    <w:name w:val="Style2"/>
    <w:basedOn w:val="Normal"/>
    <w:link w:val="Style2Char"/>
    <w:qFormat/>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Pr>
      <w:rFonts w:ascii="Arial" w:eastAsiaTheme="majorEastAsia" w:hAnsi="Arial" w:cstheme="majorBidi"/>
      <w:sz w:val="26"/>
      <w:szCs w:val="26"/>
      <w:lang w:val="en-GB" w:eastAsia="en-US"/>
    </w:rPr>
  </w:style>
  <w:style w:type="paragraph" w:customStyle="1" w:styleId="References">
    <w:name w:val="References"/>
    <w:basedOn w:val="Normal"/>
    <w:qFormat/>
    <w:pPr>
      <w:numPr>
        <w:numId w:val="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qFormat/>
    <w:rPr>
      <w:rFonts w:ascii="CG Times (WN)" w:eastAsia="Times New Roman" w:hAnsi="CG Times (W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Pr>
      <w:rFonts w:ascii="Arial" w:hAnsi="Arial"/>
      <w:sz w:val="18"/>
      <w:lang w:val="en-GB" w:eastAsia="en-US"/>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TANChar">
    <w:name w:val="TAN Char"/>
    <w:link w:val="TAN"/>
    <w:qFormat/>
    <w:rPr>
      <w:rFonts w:ascii="Arial" w:hAnsi="Arial"/>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apple-converted-space">
    <w:name w:val="apple-converted-space"/>
    <w:qFormat/>
  </w:style>
  <w:style w:type="character" w:customStyle="1" w:styleId="B3Char2">
    <w:name w:val="B3 Char2"/>
    <w:link w:val="B3"/>
    <w:qFormat/>
    <w:rPr>
      <w:lang w:val="en-GB" w:eastAsia="en-US"/>
    </w:rPr>
  </w:style>
  <w:style w:type="paragraph" w:customStyle="1" w:styleId="1">
    <w:name w:val="목록 단락1"/>
    <w:basedOn w:val="Normal"/>
    <w:uiPriority w:val="34"/>
    <w:qFormat/>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pPr>
      <w:tabs>
        <w:tab w:val="left" w:pos="1304"/>
        <w:tab w:val="left" w:leader="underscore"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qFormat/>
    <w:pPr>
      <w:spacing w:after="0"/>
    </w:pPr>
    <w:rPr>
      <w:rFonts w:ascii="SimSun" w:eastAsia="SimSun" w:hAnsi="SimSun"/>
      <w:sz w:val="24"/>
      <w:szCs w:val="24"/>
      <w:lang w:eastAsia="zh-CN"/>
    </w:rPr>
  </w:style>
  <w:style w:type="paragraph" w:customStyle="1" w:styleId="xmsolistparagraph">
    <w:name w:val="x_msolistparagraph"/>
    <w:basedOn w:val="Normal"/>
    <w:qFormat/>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qFormat/>
    <w:rPr>
      <w:rFonts w:ascii="Courier New" w:hAnsi="Courier New"/>
      <w:lang w:val="nb-NO" w:eastAsia="en-US"/>
    </w:r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xapple-converted-space">
    <w:name w:val="x_apple-converted-space"/>
    <w:basedOn w:val="DefaultParagraphFont"/>
    <w:qFormat/>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Pr>
      <w:rFonts w:ascii="Times New Roman" w:eastAsia="Times New Roman" w:hAnsi="Times New Roman" w:cs="SimSun"/>
      <w:kern w:val="0"/>
    </w:rPr>
  </w:style>
  <w:style w:type="paragraph" w:customStyle="1" w:styleId="Agreement">
    <w:name w:val="Agreement"/>
    <w:basedOn w:val="Normal"/>
    <w:next w:val="Normal"/>
    <w:uiPriority w:val="99"/>
    <w:qFormat/>
    <w:pPr>
      <w:numPr>
        <w:numId w:val="3"/>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PlaceholderText">
    <w:name w:val="Placeholder Text"/>
    <w:basedOn w:val="DefaultParagraphFont"/>
    <w:uiPriority w:val="99"/>
    <w:semiHidden/>
    <w:qFormat/>
    <w:rPr>
      <w:color w:val="808080"/>
    </w:rPr>
  </w:style>
  <w:style w:type="paragraph" w:customStyle="1" w:styleId="Reference">
    <w:name w:val="Reference"/>
    <w:basedOn w:val="BodyText"/>
    <w:qFormat/>
    <w:pPr>
      <w:numPr>
        <w:numId w:val="4"/>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Revision1">
    <w:name w:val="Revision1"/>
    <w:hidden/>
    <w:uiPriority w:val="99"/>
    <w:semiHidden/>
    <w:qFormat/>
    <w:rPr>
      <w:lang w:eastAsia="en-US"/>
    </w:rPr>
  </w:style>
  <w:style w:type="paragraph" w:customStyle="1" w:styleId="CRCoverPage">
    <w:name w:val="CR Cover Page"/>
    <w:rsid w:val="000E1EDA"/>
    <w:pPr>
      <w:spacing w:after="120"/>
    </w:pPr>
    <w:rPr>
      <w:rFonts w:ascii="Arial" w:eastAsia="Times New Roman" w:hAnsi="Arial"/>
      <w:lang w:eastAsia="en-US"/>
    </w:rPr>
  </w:style>
  <w:style w:type="character" w:styleId="UnresolvedMention">
    <w:name w:val="Unresolved Mention"/>
    <w:basedOn w:val="DefaultParagraphFont"/>
    <w:uiPriority w:val="99"/>
    <w:semiHidden/>
    <w:unhideWhenUsed/>
    <w:rsid w:val="00C12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353">
      <w:bodyDiv w:val="1"/>
      <w:marLeft w:val="0"/>
      <w:marRight w:val="0"/>
      <w:marTop w:val="0"/>
      <w:marBottom w:val="0"/>
      <w:divBdr>
        <w:top w:val="none" w:sz="0" w:space="0" w:color="auto"/>
        <w:left w:val="none" w:sz="0" w:space="0" w:color="auto"/>
        <w:bottom w:val="none" w:sz="0" w:space="0" w:color="auto"/>
        <w:right w:val="none" w:sz="0" w:space="0" w:color="auto"/>
      </w:divBdr>
    </w:div>
    <w:div w:id="40448835">
      <w:bodyDiv w:val="1"/>
      <w:marLeft w:val="0"/>
      <w:marRight w:val="0"/>
      <w:marTop w:val="0"/>
      <w:marBottom w:val="0"/>
      <w:divBdr>
        <w:top w:val="none" w:sz="0" w:space="0" w:color="auto"/>
        <w:left w:val="none" w:sz="0" w:space="0" w:color="auto"/>
        <w:bottom w:val="none" w:sz="0" w:space="0" w:color="auto"/>
        <w:right w:val="none" w:sz="0" w:space="0" w:color="auto"/>
      </w:divBdr>
    </w:div>
    <w:div w:id="46878331">
      <w:bodyDiv w:val="1"/>
      <w:marLeft w:val="0"/>
      <w:marRight w:val="0"/>
      <w:marTop w:val="0"/>
      <w:marBottom w:val="0"/>
      <w:divBdr>
        <w:top w:val="none" w:sz="0" w:space="0" w:color="auto"/>
        <w:left w:val="none" w:sz="0" w:space="0" w:color="auto"/>
        <w:bottom w:val="none" w:sz="0" w:space="0" w:color="auto"/>
        <w:right w:val="none" w:sz="0" w:space="0" w:color="auto"/>
      </w:divBdr>
    </w:div>
    <w:div w:id="53312637">
      <w:bodyDiv w:val="1"/>
      <w:marLeft w:val="0"/>
      <w:marRight w:val="0"/>
      <w:marTop w:val="0"/>
      <w:marBottom w:val="0"/>
      <w:divBdr>
        <w:top w:val="none" w:sz="0" w:space="0" w:color="auto"/>
        <w:left w:val="none" w:sz="0" w:space="0" w:color="auto"/>
        <w:bottom w:val="none" w:sz="0" w:space="0" w:color="auto"/>
        <w:right w:val="none" w:sz="0" w:space="0" w:color="auto"/>
      </w:divBdr>
    </w:div>
    <w:div w:id="66467006">
      <w:bodyDiv w:val="1"/>
      <w:marLeft w:val="0"/>
      <w:marRight w:val="0"/>
      <w:marTop w:val="0"/>
      <w:marBottom w:val="0"/>
      <w:divBdr>
        <w:top w:val="none" w:sz="0" w:space="0" w:color="auto"/>
        <w:left w:val="none" w:sz="0" w:space="0" w:color="auto"/>
        <w:bottom w:val="none" w:sz="0" w:space="0" w:color="auto"/>
        <w:right w:val="none" w:sz="0" w:space="0" w:color="auto"/>
      </w:divBdr>
    </w:div>
    <w:div w:id="94595015">
      <w:bodyDiv w:val="1"/>
      <w:marLeft w:val="0"/>
      <w:marRight w:val="0"/>
      <w:marTop w:val="0"/>
      <w:marBottom w:val="0"/>
      <w:divBdr>
        <w:top w:val="none" w:sz="0" w:space="0" w:color="auto"/>
        <w:left w:val="none" w:sz="0" w:space="0" w:color="auto"/>
        <w:bottom w:val="none" w:sz="0" w:space="0" w:color="auto"/>
        <w:right w:val="none" w:sz="0" w:space="0" w:color="auto"/>
      </w:divBdr>
    </w:div>
    <w:div w:id="113257433">
      <w:bodyDiv w:val="1"/>
      <w:marLeft w:val="0"/>
      <w:marRight w:val="0"/>
      <w:marTop w:val="0"/>
      <w:marBottom w:val="0"/>
      <w:divBdr>
        <w:top w:val="none" w:sz="0" w:space="0" w:color="auto"/>
        <w:left w:val="none" w:sz="0" w:space="0" w:color="auto"/>
        <w:bottom w:val="none" w:sz="0" w:space="0" w:color="auto"/>
        <w:right w:val="none" w:sz="0" w:space="0" w:color="auto"/>
      </w:divBdr>
    </w:div>
    <w:div w:id="148786601">
      <w:bodyDiv w:val="1"/>
      <w:marLeft w:val="0"/>
      <w:marRight w:val="0"/>
      <w:marTop w:val="0"/>
      <w:marBottom w:val="0"/>
      <w:divBdr>
        <w:top w:val="none" w:sz="0" w:space="0" w:color="auto"/>
        <w:left w:val="none" w:sz="0" w:space="0" w:color="auto"/>
        <w:bottom w:val="none" w:sz="0" w:space="0" w:color="auto"/>
        <w:right w:val="none" w:sz="0" w:space="0" w:color="auto"/>
      </w:divBdr>
    </w:div>
    <w:div w:id="153692746">
      <w:bodyDiv w:val="1"/>
      <w:marLeft w:val="0"/>
      <w:marRight w:val="0"/>
      <w:marTop w:val="0"/>
      <w:marBottom w:val="0"/>
      <w:divBdr>
        <w:top w:val="none" w:sz="0" w:space="0" w:color="auto"/>
        <w:left w:val="none" w:sz="0" w:space="0" w:color="auto"/>
        <w:bottom w:val="none" w:sz="0" w:space="0" w:color="auto"/>
        <w:right w:val="none" w:sz="0" w:space="0" w:color="auto"/>
      </w:divBdr>
    </w:div>
    <w:div w:id="190916521">
      <w:bodyDiv w:val="1"/>
      <w:marLeft w:val="0"/>
      <w:marRight w:val="0"/>
      <w:marTop w:val="0"/>
      <w:marBottom w:val="0"/>
      <w:divBdr>
        <w:top w:val="none" w:sz="0" w:space="0" w:color="auto"/>
        <w:left w:val="none" w:sz="0" w:space="0" w:color="auto"/>
        <w:bottom w:val="none" w:sz="0" w:space="0" w:color="auto"/>
        <w:right w:val="none" w:sz="0" w:space="0" w:color="auto"/>
      </w:divBdr>
    </w:div>
    <w:div w:id="224875447">
      <w:bodyDiv w:val="1"/>
      <w:marLeft w:val="0"/>
      <w:marRight w:val="0"/>
      <w:marTop w:val="0"/>
      <w:marBottom w:val="0"/>
      <w:divBdr>
        <w:top w:val="none" w:sz="0" w:space="0" w:color="auto"/>
        <w:left w:val="none" w:sz="0" w:space="0" w:color="auto"/>
        <w:bottom w:val="none" w:sz="0" w:space="0" w:color="auto"/>
        <w:right w:val="none" w:sz="0" w:space="0" w:color="auto"/>
      </w:divBdr>
    </w:div>
    <w:div w:id="324361169">
      <w:bodyDiv w:val="1"/>
      <w:marLeft w:val="0"/>
      <w:marRight w:val="0"/>
      <w:marTop w:val="0"/>
      <w:marBottom w:val="0"/>
      <w:divBdr>
        <w:top w:val="none" w:sz="0" w:space="0" w:color="auto"/>
        <w:left w:val="none" w:sz="0" w:space="0" w:color="auto"/>
        <w:bottom w:val="none" w:sz="0" w:space="0" w:color="auto"/>
        <w:right w:val="none" w:sz="0" w:space="0" w:color="auto"/>
      </w:divBdr>
    </w:div>
    <w:div w:id="343287703">
      <w:bodyDiv w:val="1"/>
      <w:marLeft w:val="0"/>
      <w:marRight w:val="0"/>
      <w:marTop w:val="0"/>
      <w:marBottom w:val="0"/>
      <w:divBdr>
        <w:top w:val="none" w:sz="0" w:space="0" w:color="auto"/>
        <w:left w:val="none" w:sz="0" w:space="0" w:color="auto"/>
        <w:bottom w:val="none" w:sz="0" w:space="0" w:color="auto"/>
        <w:right w:val="none" w:sz="0" w:space="0" w:color="auto"/>
      </w:divBdr>
    </w:div>
    <w:div w:id="440271540">
      <w:bodyDiv w:val="1"/>
      <w:marLeft w:val="0"/>
      <w:marRight w:val="0"/>
      <w:marTop w:val="0"/>
      <w:marBottom w:val="0"/>
      <w:divBdr>
        <w:top w:val="none" w:sz="0" w:space="0" w:color="auto"/>
        <w:left w:val="none" w:sz="0" w:space="0" w:color="auto"/>
        <w:bottom w:val="none" w:sz="0" w:space="0" w:color="auto"/>
        <w:right w:val="none" w:sz="0" w:space="0" w:color="auto"/>
      </w:divBdr>
    </w:div>
    <w:div w:id="446313185">
      <w:bodyDiv w:val="1"/>
      <w:marLeft w:val="0"/>
      <w:marRight w:val="0"/>
      <w:marTop w:val="0"/>
      <w:marBottom w:val="0"/>
      <w:divBdr>
        <w:top w:val="none" w:sz="0" w:space="0" w:color="auto"/>
        <w:left w:val="none" w:sz="0" w:space="0" w:color="auto"/>
        <w:bottom w:val="none" w:sz="0" w:space="0" w:color="auto"/>
        <w:right w:val="none" w:sz="0" w:space="0" w:color="auto"/>
      </w:divBdr>
    </w:div>
    <w:div w:id="472790876">
      <w:bodyDiv w:val="1"/>
      <w:marLeft w:val="0"/>
      <w:marRight w:val="0"/>
      <w:marTop w:val="0"/>
      <w:marBottom w:val="0"/>
      <w:divBdr>
        <w:top w:val="none" w:sz="0" w:space="0" w:color="auto"/>
        <w:left w:val="none" w:sz="0" w:space="0" w:color="auto"/>
        <w:bottom w:val="none" w:sz="0" w:space="0" w:color="auto"/>
        <w:right w:val="none" w:sz="0" w:space="0" w:color="auto"/>
      </w:divBdr>
    </w:div>
    <w:div w:id="579370517">
      <w:bodyDiv w:val="1"/>
      <w:marLeft w:val="0"/>
      <w:marRight w:val="0"/>
      <w:marTop w:val="0"/>
      <w:marBottom w:val="0"/>
      <w:divBdr>
        <w:top w:val="none" w:sz="0" w:space="0" w:color="auto"/>
        <w:left w:val="none" w:sz="0" w:space="0" w:color="auto"/>
        <w:bottom w:val="none" w:sz="0" w:space="0" w:color="auto"/>
        <w:right w:val="none" w:sz="0" w:space="0" w:color="auto"/>
      </w:divBdr>
    </w:div>
    <w:div w:id="612133158">
      <w:bodyDiv w:val="1"/>
      <w:marLeft w:val="0"/>
      <w:marRight w:val="0"/>
      <w:marTop w:val="0"/>
      <w:marBottom w:val="0"/>
      <w:divBdr>
        <w:top w:val="none" w:sz="0" w:space="0" w:color="auto"/>
        <w:left w:val="none" w:sz="0" w:space="0" w:color="auto"/>
        <w:bottom w:val="none" w:sz="0" w:space="0" w:color="auto"/>
        <w:right w:val="none" w:sz="0" w:space="0" w:color="auto"/>
      </w:divBdr>
    </w:div>
    <w:div w:id="617682451">
      <w:bodyDiv w:val="1"/>
      <w:marLeft w:val="0"/>
      <w:marRight w:val="0"/>
      <w:marTop w:val="0"/>
      <w:marBottom w:val="0"/>
      <w:divBdr>
        <w:top w:val="none" w:sz="0" w:space="0" w:color="auto"/>
        <w:left w:val="none" w:sz="0" w:space="0" w:color="auto"/>
        <w:bottom w:val="none" w:sz="0" w:space="0" w:color="auto"/>
        <w:right w:val="none" w:sz="0" w:space="0" w:color="auto"/>
      </w:divBdr>
    </w:div>
    <w:div w:id="640963833">
      <w:bodyDiv w:val="1"/>
      <w:marLeft w:val="0"/>
      <w:marRight w:val="0"/>
      <w:marTop w:val="0"/>
      <w:marBottom w:val="0"/>
      <w:divBdr>
        <w:top w:val="none" w:sz="0" w:space="0" w:color="auto"/>
        <w:left w:val="none" w:sz="0" w:space="0" w:color="auto"/>
        <w:bottom w:val="none" w:sz="0" w:space="0" w:color="auto"/>
        <w:right w:val="none" w:sz="0" w:space="0" w:color="auto"/>
      </w:divBdr>
    </w:div>
    <w:div w:id="696195564">
      <w:bodyDiv w:val="1"/>
      <w:marLeft w:val="0"/>
      <w:marRight w:val="0"/>
      <w:marTop w:val="0"/>
      <w:marBottom w:val="0"/>
      <w:divBdr>
        <w:top w:val="none" w:sz="0" w:space="0" w:color="auto"/>
        <w:left w:val="none" w:sz="0" w:space="0" w:color="auto"/>
        <w:bottom w:val="none" w:sz="0" w:space="0" w:color="auto"/>
        <w:right w:val="none" w:sz="0" w:space="0" w:color="auto"/>
      </w:divBdr>
    </w:div>
    <w:div w:id="716855563">
      <w:bodyDiv w:val="1"/>
      <w:marLeft w:val="0"/>
      <w:marRight w:val="0"/>
      <w:marTop w:val="0"/>
      <w:marBottom w:val="0"/>
      <w:divBdr>
        <w:top w:val="none" w:sz="0" w:space="0" w:color="auto"/>
        <w:left w:val="none" w:sz="0" w:space="0" w:color="auto"/>
        <w:bottom w:val="none" w:sz="0" w:space="0" w:color="auto"/>
        <w:right w:val="none" w:sz="0" w:space="0" w:color="auto"/>
      </w:divBdr>
    </w:div>
    <w:div w:id="745539009">
      <w:bodyDiv w:val="1"/>
      <w:marLeft w:val="0"/>
      <w:marRight w:val="0"/>
      <w:marTop w:val="0"/>
      <w:marBottom w:val="0"/>
      <w:divBdr>
        <w:top w:val="none" w:sz="0" w:space="0" w:color="auto"/>
        <w:left w:val="none" w:sz="0" w:space="0" w:color="auto"/>
        <w:bottom w:val="none" w:sz="0" w:space="0" w:color="auto"/>
        <w:right w:val="none" w:sz="0" w:space="0" w:color="auto"/>
      </w:divBdr>
    </w:div>
    <w:div w:id="764349127">
      <w:bodyDiv w:val="1"/>
      <w:marLeft w:val="0"/>
      <w:marRight w:val="0"/>
      <w:marTop w:val="0"/>
      <w:marBottom w:val="0"/>
      <w:divBdr>
        <w:top w:val="none" w:sz="0" w:space="0" w:color="auto"/>
        <w:left w:val="none" w:sz="0" w:space="0" w:color="auto"/>
        <w:bottom w:val="none" w:sz="0" w:space="0" w:color="auto"/>
        <w:right w:val="none" w:sz="0" w:space="0" w:color="auto"/>
      </w:divBdr>
    </w:div>
    <w:div w:id="799806490">
      <w:bodyDiv w:val="1"/>
      <w:marLeft w:val="0"/>
      <w:marRight w:val="0"/>
      <w:marTop w:val="0"/>
      <w:marBottom w:val="0"/>
      <w:divBdr>
        <w:top w:val="none" w:sz="0" w:space="0" w:color="auto"/>
        <w:left w:val="none" w:sz="0" w:space="0" w:color="auto"/>
        <w:bottom w:val="none" w:sz="0" w:space="0" w:color="auto"/>
        <w:right w:val="none" w:sz="0" w:space="0" w:color="auto"/>
      </w:divBdr>
    </w:div>
    <w:div w:id="812142203">
      <w:bodyDiv w:val="1"/>
      <w:marLeft w:val="0"/>
      <w:marRight w:val="0"/>
      <w:marTop w:val="0"/>
      <w:marBottom w:val="0"/>
      <w:divBdr>
        <w:top w:val="none" w:sz="0" w:space="0" w:color="auto"/>
        <w:left w:val="none" w:sz="0" w:space="0" w:color="auto"/>
        <w:bottom w:val="none" w:sz="0" w:space="0" w:color="auto"/>
        <w:right w:val="none" w:sz="0" w:space="0" w:color="auto"/>
      </w:divBdr>
    </w:div>
    <w:div w:id="815878982">
      <w:bodyDiv w:val="1"/>
      <w:marLeft w:val="0"/>
      <w:marRight w:val="0"/>
      <w:marTop w:val="0"/>
      <w:marBottom w:val="0"/>
      <w:divBdr>
        <w:top w:val="none" w:sz="0" w:space="0" w:color="auto"/>
        <w:left w:val="none" w:sz="0" w:space="0" w:color="auto"/>
        <w:bottom w:val="none" w:sz="0" w:space="0" w:color="auto"/>
        <w:right w:val="none" w:sz="0" w:space="0" w:color="auto"/>
      </w:divBdr>
    </w:div>
    <w:div w:id="822163839">
      <w:bodyDiv w:val="1"/>
      <w:marLeft w:val="0"/>
      <w:marRight w:val="0"/>
      <w:marTop w:val="0"/>
      <w:marBottom w:val="0"/>
      <w:divBdr>
        <w:top w:val="none" w:sz="0" w:space="0" w:color="auto"/>
        <w:left w:val="none" w:sz="0" w:space="0" w:color="auto"/>
        <w:bottom w:val="none" w:sz="0" w:space="0" w:color="auto"/>
        <w:right w:val="none" w:sz="0" w:space="0" w:color="auto"/>
      </w:divBdr>
    </w:div>
    <w:div w:id="838082028">
      <w:bodyDiv w:val="1"/>
      <w:marLeft w:val="0"/>
      <w:marRight w:val="0"/>
      <w:marTop w:val="0"/>
      <w:marBottom w:val="0"/>
      <w:divBdr>
        <w:top w:val="none" w:sz="0" w:space="0" w:color="auto"/>
        <w:left w:val="none" w:sz="0" w:space="0" w:color="auto"/>
        <w:bottom w:val="none" w:sz="0" w:space="0" w:color="auto"/>
        <w:right w:val="none" w:sz="0" w:space="0" w:color="auto"/>
      </w:divBdr>
    </w:div>
    <w:div w:id="852305876">
      <w:bodyDiv w:val="1"/>
      <w:marLeft w:val="0"/>
      <w:marRight w:val="0"/>
      <w:marTop w:val="0"/>
      <w:marBottom w:val="0"/>
      <w:divBdr>
        <w:top w:val="none" w:sz="0" w:space="0" w:color="auto"/>
        <w:left w:val="none" w:sz="0" w:space="0" w:color="auto"/>
        <w:bottom w:val="none" w:sz="0" w:space="0" w:color="auto"/>
        <w:right w:val="none" w:sz="0" w:space="0" w:color="auto"/>
      </w:divBdr>
    </w:div>
    <w:div w:id="939678843">
      <w:bodyDiv w:val="1"/>
      <w:marLeft w:val="0"/>
      <w:marRight w:val="0"/>
      <w:marTop w:val="0"/>
      <w:marBottom w:val="0"/>
      <w:divBdr>
        <w:top w:val="none" w:sz="0" w:space="0" w:color="auto"/>
        <w:left w:val="none" w:sz="0" w:space="0" w:color="auto"/>
        <w:bottom w:val="none" w:sz="0" w:space="0" w:color="auto"/>
        <w:right w:val="none" w:sz="0" w:space="0" w:color="auto"/>
      </w:divBdr>
    </w:div>
    <w:div w:id="986084304">
      <w:bodyDiv w:val="1"/>
      <w:marLeft w:val="0"/>
      <w:marRight w:val="0"/>
      <w:marTop w:val="0"/>
      <w:marBottom w:val="0"/>
      <w:divBdr>
        <w:top w:val="none" w:sz="0" w:space="0" w:color="auto"/>
        <w:left w:val="none" w:sz="0" w:space="0" w:color="auto"/>
        <w:bottom w:val="none" w:sz="0" w:space="0" w:color="auto"/>
        <w:right w:val="none" w:sz="0" w:space="0" w:color="auto"/>
      </w:divBdr>
    </w:div>
    <w:div w:id="1080563977">
      <w:bodyDiv w:val="1"/>
      <w:marLeft w:val="0"/>
      <w:marRight w:val="0"/>
      <w:marTop w:val="0"/>
      <w:marBottom w:val="0"/>
      <w:divBdr>
        <w:top w:val="none" w:sz="0" w:space="0" w:color="auto"/>
        <w:left w:val="none" w:sz="0" w:space="0" w:color="auto"/>
        <w:bottom w:val="none" w:sz="0" w:space="0" w:color="auto"/>
        <w:right w:val="none" w:sz="0" w:space="0" w:color="auto"/>
      </w:divBdr>
    </w:div>
    <w:div w:id="1096053083">
      <w:bodyDiv w:val="1"/>
      <w:marLeft w:val="0"/>
      <w:marRight w:val="0"/>
      <w:marTop w:val="0"/>
      <w:marBottom w:val="0"/>
      <w:divBdr>
        <w:top w:val="none" w:sz="0" w:space="0" w:color="auto"/>
        <w:left w:val="none" w:sz="0" w:space="0" w:color="auto"/>
        <w:bottom w:val="none" w:sz="0" w:space="0" w:color="auto"/>
        <w:right w:val="none" w:sz="0" w:space="0" w:color="auto"/>
      </w:divBdr>
    </w:div>
    <w:div w:id="1138962609">
      <w:bodyDiv w:val="1"/>
      <w:marLeft w:val="0"/>
      <w:marRight w:val="0"/>
      <w:marTop w:val="0"/>
      <w:marBottom w:val="0"/>
      <w:divBdr>
        <w:top w:val="none" w:sz="0" w:space="0" w:color="auto"/>
        <w:left w:val="none" w:sz="0" w:space="0" w:color="auto"/>
        <w:bottom w:val="none" w:sz="0" w:space="0" w:color="auto"/>
        <w:right w:val="none" w:sz="0" w:space="0" w:color="auto"/>
      </w:divBdr>
    </w:div>
    <w:div w:id="1147940491">
      <w:bodyDiv w:val="1"/>
      <w:marLeft w:val="0"/>
      <w:marRight w:val="0"/>
      <w:marTop w:val="0"/>
      <w:marBottom w:val="0"/>
      <w:divBdr>
        <w:top w:val="none" w:sz="0" w:space="0" w:color="auto"/>
        <w:left w:val="none" w:sz="0" w:space="0" w:color="auto"/>
        <w:bottom w:val="none" w:sz="0" w:space="0" w:color="auto"/>
        <w:right w:val="none" w:sz="0" w:space="0" w:color="auto"/>
      </w:divBdr>
    </w:div>
    <w:div w:id="1180117336">
      <w:bodyDiv w:val="1"/>
      <w:marLeft w:val="0"/>
      <w:marRight w:val="0"/>
      <w:marTop w:val="0"/>
      <w:marBottom w:val="0"/>
      <w:divBdr>
        <w:top w:val="none" w:sz="0" w:space="0" w:color="auto"/>
        <w:left w:val="none" w:sz="0" w:space="0" w:color="auto"/>
        <w:bottom w:val="none" w:sz="0" w:space="0" w:color="auto"/>
        <w:right w:val="none" w:sz="0" w:space="0" w:color="auto"/>
      </w:divBdr>
    </w:div>
    <w:div w:id="1191645091">
      <w:bodyDiv w:val="1"/>
      <w:marLeft w:val="0"/>
      <w:marRight w:val="0"/>
      <w:marTop w:val="0"/>
      <w:marBottom w:val="0"/>
      <w:divBdr>
        <w:top w:val="none" w:sz="0" w:space="0" w:color="auto"/>
        <w:left w:val="none" w:sz="0" w:space="0" w:color="auto"/>
        <w:bottom w:val="none" w:sz="0" w:space="0" w:color="auto"/>
        <w:right w:val="none" w:sz="0" w:space="0" w:color="auto"/>
      </w:divBdr>
    </w:div>
    <w:div w:id="1210343613">
      <w:bodyDiv w:val="1"/>
      <w:marLeft w:val="0"/>
      <w:marRight w:val="0"/>
      <w:marTop w:val="0"/>
      <w:marBottom w:val="0"/>
      <w:divBdr>
        <w:top w:val="none" w:sz="0" w:space="0" w:color="auto"/>
        <w:left w:val="none" w:sz="0" w:space="0" w:color="auto"/>
        <w:bottom w:val="none" w:sz="0" w:space="0" w:color="auto"/>
        <w:right w:val="none" w:sz="0" w:space="0" w:color="auto"/>
      </w:divBdr>
    </w:div>
    <w:div w:id="1224564477">
      <w:bodyDiv w:val="1"/>
      <w:marLeft w:val="0"/>
      <w:marRight w:val="0"/>
      <w:marTop w:val="0"/>
      <w:marBottom w:val="0"/>
      <w:divBdr>
        <w:top w:val="none" w:sz="0" w:space="0" w:color="auto"/>
        <w:left w:val="none" w:sz="0" w:space="0" w:color="auto"/>
        <w:bottom w:val="none" w:sz="0" w:space="0" w:color="auto"/>
        <w:right w:val="none" w:sz="0" w:space="0" w:color="auto"/>
      </w:divBdr>
    </w:div>
    <w:div w:id="1231427647">
      <w:bodyDiv w:val="1"/>
      <w:marLeft w:val="0"/>
      <w:marRight w:val="0"/>
      <w:marTop w:val="0"/>
      <w:marBottom w:val="0"/>
      <w:divBdr>
        <w:top w:val="none" w:sz="0" w:space="0" w:color="auto"/>
        <w:left w:val="none" w:sz="0" w:space="0" w:color="auto"/>
        <w:bottom w:val="none" w:sz="0" w:space="0" w:color="auto"/>
        <w:right w:val="none" w:sz="0" w:space="0" w:color="auto"/>
      </w:divBdr>
    </w:div>
    <w:div w:id="1262109288">
      <w:bodyDiv w:val="1"/>
      <w:marLeft w:val="0"/>
      <w:marRight w:val="0"/>
      <w:marTop w:val="0"/>
      <w:marBottom w:val="0"/>
      <w:divBdr>
        <w:top w:val="none" w:sz="0" w:space="0" w:color="auto"/>
        <w:left w:val="none" w:sz="0" w:space="0" w:color="auto"/>
        <w:bottom w:val="none" w:sz="0" w:space="0" w:color="auto"/>
        <w:right w:val="none" w:sz="0" w:space="0" w:color="auto"/>
      </w:divBdr>
    </w:div>
    <w:div w:id="1273364784">
      <w:bodyDiv w:val="1"/>
      <w:marLeft w:val="0"/>
      <w:marRight w:val="0"/>
      <w:marTop w:val="0"/>
      <w:marBottom w:val="0"/>
      <w:divBdr>
        <w:top w:val="none" w:sz="0" w:space="0" w:color="auto"/>
        <w:left w:val="none" w:sz="0" w:space="0" w:color="auto"/>
        <w:bottom w:val="none" w:sz="0" w:space="0" w:color="auto"/>
        <w:right w:val="none" w:sz="0" w:space="0" w:color="auto"/>
      </w:divBdr>
    </w:div>
    <w:div w:id="1371999879">
      <w:bodyDiv w:val="1"/>
      <w:marLeft w:val="0"/>
      <w:marRight w:val="0"/>
      <w:marTop w:val="0"/>
      <w:marBottom w:val="0"/>
      <w:divBdr>
        <w:top w:val="none" w:sz="0" w:space="0" w:color="auto"/>
        <w:left w:val="none" w:sz="0" w:space="0" w:color="auto"/>
        <w:bottom w:val="none" w:sz="0" w:space="0" w:color="auto"/>
        <w:right w:val="none" w:sz="0" w:space="0" w:color="auto"/>
      </w:divBdr>
    </w:div>
    <w:div w:id="1413355028">
      <w:bodyDiv w:val="1"/>
      <w:marLeft w:val="0"/>
      <w:marRight w:val="0"/>
      <w:marTop w:val="0"/>
      <w:marBottom w:val="0"/>
      <w:divBdr>
        <w:top w:val="none" w:sz="0" w:space="0" w:color="auto"/>
        <w:left w:val="none" w:sz="0" w:space="0" w:color="auto"/>
        <w:bottom w:val="none" w:sz="0" w:space="0" w:color="auto"/>
        <w:right w:val="none" w:sz="0" w:space="0" w:color="auto"/>
      </w:divBdr>
    </w:div>
    <w:div w:id="1429892218">
      <w:bodyDiv w:val="1"/>
      <w:marLeft w:val="0"/>
      <w:marRight w:val="0"/>
      <w:marTop w:val="0"/>
      <w:marBottom w:val="0"/>
      <w:divBdr>
        <w:top w:val="none" w:sz="0" w:space="0" w:color="auto"/>
        <w:left w:val="none" w:sz="0" w:space="0" w:color="auto"/>
        <w:bottom w:val="none" w:sz="0" w:space="0" w:color="auto"/>
        <w:right w:val="none" w:sz="0" w:space="0" w:color="auto"/>
      </w:divBdr>
    </w:div>
    <w:div w:id="1440486801">
      <w:bodyDiv w:val="1"/>
      <w:marLeft w:val="0"/>
      <w:marRight w:val="0"/>
      <w:marTop w:val="0"/>
      <w:marBottom w:val="0"/>
      <w:divBdr>
        <w:top w:val="none" w:sz="0" w:space="0" w:color="auto"/>
        <w:left w:val="none" w:sz="0" w:space="0" w:color="auto"/>
        <w:bottom w:val="none" w:sz="0" w:space="0" w:color="auto"/>
        <w:right w:val="none" w:sz="0" w:space="0" w:color="auto"/>
      </w:divBdr>
    </w:div>
    <w:div w:id="1488012485">
      <w:bodyDiv w:val="1"/>
      <w:marLeft w:val="0"/>
      <w:marRight w:val="0"/>
      <w:marTop w:val="0"/>
      <w:marBottom w:val="0"/>
      <w:divBdr>
        <w:top w:val="none" w:sz="0" w:space="0" w:color="auto"/>
        <w:left w:val="none" w:sz="0" w:space="0" w:color="auto"/>
        <w:bottom w:val="none" w:sz="0" w:space="0" w:color="auto"/>
        <w:right w:val="none" w:sz="0" w:space="0" w:color="auto"/>
      </w:divBdr>
    </w:div>
    <w:div w:id="1528331957">
      <w:bodyDiv w:val="1"/>
      <w:marLeft w:val="0"/>
      <w:marRight w:val="0"/>
      <w:marTop w:val="0"/>
      <w:marBottom w:val="0"/>
      <w:divBdr>
        <w:top w:val="none" w:sz="0" w:space="0" w:color="auto"/>
        <w:left w:val="none" w:sz="0" w:space="0" w:color="auto"/>
        <w:bottom w:val="none" w:sz="0" w:space="0" w:color="auto"/>
        <w:right w:val="none" w:sz="0" w:space="0" w:color="auto"/>
      </w:divBdr>
    </w:div>
    <w:div w:id="1590315039">
      <w:bodyDiv w:val="1"/>
      <w:marLeft w:val="0"/>
      <w:marRight w:val="0"/>
      <w:marTop w:val="0"/>
      <w:marBottom w:val="0"/>
      <w:divBdr>
        <w:top w:val="none" w:sz="0" w:space="0" w:color="auto"/>
        <w:left w:val="none" w:sz="0" w:space="0" w:color="auto"/>
        <w:bottom w:val="none" w:sz="0" w:space="0" w:color="auto"/>
        <w:right w:val="none" w:sz="0" w:space="0" w:color="auto"/>
      </w:divBdr>
    </w:div>
    <w:div w:id="1609653964">
      <w:bodyDiv w:val="1"/>
      <w:marLeft w:val="0"/>
      <w:marRight w:val="0"/>
      <w:marTop w:val="0"/>
      <w:marBottom w:val="0"/>
      <w:divBdr>
        <w:top w:val="none" w:sz="0" w:space="0" w:color="auto"/>
        <w:left w:val="none" w:sz="0" w:space="0" w:color="auto"/>
        <w:bottom w:val="none" w:sz="0" w:space="0" w:color="auto"/>
        <w:right w:val="none" w:sz="0" w:space="0" w:color="auto"/>
      </w:divBdr>
    </w:div>
    <w:div w:id="1619331467">
      <w:bodyDiv w:val="1"/>
      <w:marLeft w:val="0"/>
      <w:marRight w:val="0"/>
      <w:marTop w:val="0"/>
      <w:marBottom w:val="0"/>
      <w:divBdr>
        <w:top w:val="none" w:sz="0" w:space="0" w:color="auto"/>
        <w:left w:val="none" w:sz="0" w:space="0" w:color="auto"/>
        <w:bottom w:val="none" w:sz="0" w:space="0" w:color="auto"/>
        <w:right w:val="none" w:sz="0" w:space="0" w:color="auto"/>
      </w:divBdr>
    </w:div>
    <w:div w:id="1624726788">
      <w:bodyDiv w:val="1"/>
      <w:marLeft w:val="0"/>
      <w:marRight w:val="0"/>
      <w:marTop w:val="0"/>
      <w:marBottom w:val="0"/>
      <w:divBdr>
        <w:top w:val="none" w:sz="0" w:space="0" w:color="auto"/>
        <w:left w:val="none" w:sz="0" w:space="0" w:color="auto"/>
        <w:bottom w:val="none" w:sz="0" w:space="0" w:color="auto"/>
        <w:right w:val="none" w:sz="0" w:space="0" w:color="auto"/>
      </w:divBdr>
    </w:div>
    <w:div w:id="1656572788">
      <w:bodyDiv w:val="1"/>
      <w:marLeft w:val="0"/>
      <w:marRight w:val="0"/>
      <w:marTop w:val="0"/>
      <w:marBottom w:val="0"/>
      <w:divBdr>
        <w:top w:val="none" w:sz="0" w:space="0" w:color="auto"/>
        <w:left w:val="none" w:sz="0" w:space="0" w:color="auto"/>
        <w:bottom w:val="none" w:sz="0" w:space="0" w:color="auto"/>
        <w:right w:val="none" w:sz="0" w:space="0" w:color="auto"/>
      </w:divBdr>
    </w:div>
    <w:div w:id="1689212231">
      <w:bodyDiv w:val="1"/>
      <w:marLeft w:val="0"/>
      <w:marRight w:val="0"/>
      <w:marTop w:val="0"/>
      <w:marBottom w:val="0"/>
      <w:divBdr>
        <w:top w:val="none" w:sz="0" w:space="0" w:color="auto"/>
        <w:left w:val="none" w:sz="0" w:space="0" w:color="auto"/>
        <w:bottom w:val="none" w:sz="0" w:space="0" w:color="auto"/>
        <w:right w:val="none" w:sz="0" w:space="0" w:color="auto"/>
      </w:divBdr>
    </w:div>
    <w:div w:id="1699621248">
      <w:bodyDiv w:val="1"/>
      <w:marLeft w:val="0"/>
      <w:marRight w:val="0"/>
      <w:marTop w:val="0"/>
      <w:marBottom w:val="0"/>
      <w:divBdr>
        <w:top w:val="none" w:sz="0" w:space="0" w:color="auto"/>
        <w:left w:val="none" w:sz="0" w:space="0" w:color="auto"/>
        <w:bottom w:val="none" w:sz="0" w:space="0" w:color="auto"/>
        <w:right w:val="none" w:sz="0" w:space="0" w:color="auto"/>
      </w:divBdr>
    </w:div>
    <w:div w:id="1733845667">
      <w:bodyDiv w:val="1"/>
      <w:marLeft w:val="0"/>
      <w:marRight w:val="0"/>
      <w:marTop w:val="0"/>
      <w:marBottom w:val="0"/>
      <w:divBdr>
        <w:top w:val="none" w:sz="0" w:space="0" w:color="auto"/>
        <w:left w:val="none" w:sz="0" w:space="0" w:color="auto"/>
        <w:bottom w:val="none" w:sz="0" w:space="0" w:color="auto"/>
        <w:right w:val="none" w:sz="0" w:space="0" w:color="auto"/>
      </w:divBdr>
    </w:div>
    <w:div w:id="1748336235">
      <w:bodyDiv w:val="1"/>
      <w:marLeft w:val="0"/>
      <w:marRight w:val="0"/>
      <w:marTop w:val="0"/>
      <w:marBottom w:val="0"/>
      <w:divBdr>
        <w:top w:val="none" w:sz="0" w:space="0" w:color="auto"/>
        <w:left w:val="none" w:sz="0" w:space="0" w:color="auto"/>
        <w:bottom w:val="none" w:sz="0" w:space="0" w:color="auto"/>
        <w:right w:val="none" w:sz="0" w:space="0" w:color="auto"/>
      </w:divBdr>
    </w:div>
    <w:div w:id="1774015615">
      <w:bodyDiv w:val="1"/>
      <w:marLeft w:val="0"/>
      <w:marRight w:val="0"/>
      <w:marTop w:val="0"/>
      <w:marBottom w:val="0"/>
      <w:divBdr>
        <w:top w:val="none" w:sz="0" w:space="0" w:color="auto"/>
        <w:left w:val="none" w:sz="0" w:space="0" w:color="auto"/>
        <w:bottom w:val="none" w:sz="0" w:space="0" w:color="auto"/>
        <w:right w:val="none" w:sz="0" w:space="0" w:color="auto"/>
      </w:divBdr>
    </w:div>
    <w:div w:id="1802729203">
      <w:bodyDiv w:val="1"/>
      <w:marLeft w:val="0"/>
      <w:marRight w:val="0"/>
      <w:marTop w:val="0"/>
      <w:marBottom w:val="0"/>
      <w:divBdr>
        <w:top w:val="none" w:sz="0" w:space="0" w:color="auto"/>
        <w:left w:val="none" w:sz="0" w:space="0" w:color="auto"/>
        <w:bottom w:val="none" w:sz="0" w:space="0" w:color="auto"/>
        <w:right w:val="none" w:sz="0" w:space="0" w:color="auto"/>
      </w:divBdr>
    </w:div>
    <w:div w:id="1826235783">
      <w:bodyDiv w:val="1"/>
      <w:marLeft w:val="0"/>
      <w:marRight w:val="0"/>
      <w:marTop w:val="0"/>
      <w:marBottom w:val="0"/>
      <w:divBdr>
        <w:top w:val="none" w:sz="0" w:space="0" w:color="auto"/>
        <w:left w:val="none" w:sz="0" w:space="0" w:color="auto"/>
        <w:bottom w:val="none" w:sz="0" w:space="0" w:color="auto"/>
        <w:right w:val="none" w:sz="0" w:space="0" w:color="auto"/>
      </w:divBdr>
    </w:div>
    <w:div w:id="1910114690">
      <w:bodyDiv w:val="1"/>
      <w:marLeft w:val="0"/>
      <w:marRight w:val="0"/>
      <w:marTop w:val="0"/>
      <w:marBottom w:val="0"/>
      <w:divBdr>
        <w:top w:val="none" w:sz="0" w:space="0" w:color="auto"/>
        <w:left w:val="none" w:sz="0" w:space="0" w:color="auto"/>
        <w:bottom w:val="none" w:sz="0" w:space="0" w:color="auto"/>
        <w:right w:val="none" w:sz="0" w:space="0" w:color="auto"/>
      </w:divBdr>
    </w:div>
    <w:div w:id="1924291928">
      <w:bodyDiv w:val="1"/>
      <w:marLeft w:val="0"/>
      <w:marRight w:val="0"/>
      <w:marTop w:val="0"/>
      <w:marBottom w:val="0"/>
      <w:divBdr>
        <w:top w:val="none" w:sz="0" w:space="0" w:color="auto"/>
        <w:left w:val="none" w:sz="0" w:space="0" w:color="auto"/>
        <w:bottom w:val="none" w:sz="0" w:space="0" w:color="auto"/>
        <w:right w:val="none" w:sz="0" w:space="0" w:color="auto"/>
      </w:divBdr>
    </w:div>
    <w:div w:id="1964387694">
      <w:bodyDiv w:val="1"/>
      <w:marLeft w:val="0"/>
      <w:marRight w:val="0"/>
      <w:marTop w:val="0"/>
      <w:marBottom w:val="0"/>
      <w:divBdr>
        <w:top w:val="none" w:sz="0" w:space="0" w:color="auto"/>
        <w:left w:val="none" w:sz="0" w:space="0" w:color="auto"/>
        <w:bottom w:val="none" w:sz="0" w:space="0" w:color="auto"/>
        <w:right w:val="none" w:sz="0" w:space="0" w:color="auto"/>
      </w:divBdr>
    </w:div>
    <w:div w:id="2012947270">
      <w:bodyDiv w:val="1"/>
      <w:marLeft w:val="0"/>
      <w:marRight w:val="0"/>
      <w:marTop w:val="0"/>
      <w:marBottom w:val="0"/>
      <w:divBdr>
        <w:top w:val="none" w:sz="0" w:space="0" w:color="auto"/>
        <w:left w:val="none" w:sz="0" w:space="0" w:color="auto"/>
        <w:bottom w:val="none" w:sz="0" w:space="0" w:color="auto"/>
        <w:right w:val="none" w:sz="0" w:space="0" w:color="auto"/>
      </w:divBdr>
    </w:div>
    <w:div w:id="2013486148">
      <w:bodyDiv w:val="1"/>
      <w:marLeft w:val="0"/>
      <w:marRight w:val="0"/>
      <w:marTop w:val="0"/>
      <w:marBottom w:val="0"/>
      <w:divBdr>
        <w:top w:val="none" w:sz="0" w:space="0" w:color="auto"/>
        <w:left w:val="none" w:sz="0" w:space="0" w:color="auto"/>
        <w:bottom w:val="none" w:sz="0" w:space="0" w:color="auto"/>
        <w:right w:val="none" w:sz="0" w:space="0" w:color="auto"/>
      </w:divBdr>
    </w:div>
    <w:div w:id="2040888589">
      <w:bodyDiv w:val="1"/>
      <w:marLeft w:val="0"/>
      <w:marRight w:val="0"/>
      <w:marTop w:val="0"/>
      <w:marBottom w:val="0"/>
      <w:divBdr>
        <w:top w:val="none" w:sz="0" w:space="0" w:color="auto"/>
        <w:left w:val="none" w:sz="0" w:space="0" w:color="auto"/>
        <w:bottom w:val="none" w:sz="0" w:space="0" w:color="auto"/>
        <w:right w:val="none" w:sz="0" w:space="0" w:color="auto"/>
      </w:divBdr>
    </w:div>
    <w:div w:id="2050912283">
      <w:bodyDiv w:val="1"/>
      <w:marLeft w:val="0"/>
      <w:marRight w:val="0"/>
      <w:marTop w:val="0"/>
      <w:marBottom w:val="0"/>
      <w:divBdr>
        <w:top w:val="none" w:sz="0" w:space="0" w:color="auto"/>
        <w:left w:val="none" w:sz="0" w:space="0" w:color="auto"/>
        <w:bottom w:val="none" w:sz="0" w:space="0" w:color="auto"/>
        <w:right w:val="none" w:sz="0" w:space="0" w:color="auto"/>
      </w:divBdr>
    </w:div>
    <w:div w:id="2051763798">
      <w:bodyDiv w:val="1"/>
      <w:marLeft w:val="0"/>
      <w:marRight w:val="0"/>
      <w:marTop w:val="0"/>
      <w:marBottom w:val="0"/>
      <w:divBdr>
        <w:top w:val="none" w:sz="0" w:space="0" w:color="auto"/>
        <w:left w:val="none" w:sz="0" w:space="0" w:color="auto"/>
        <w:bottom w:val="none" w:sz="0" w:space="0" w:color="auto"/>
        <w:right w:val="none" w:sz="0" w:space="0" w:color="auto"/>
      </w:divBdr>
    </w:div>
    <w:div w:id="2055496224">
      <w:bodyDiv w:val="1"/>
      <w:marLeft w:val="0"/>
      <w:marRight w:val="0"/>
      <w:marTop w:val="0"/>
      <w:marBottom w:val="0"/>
      <w:divBdr>
        <w:top w:val="none" w:sz="0" w:space="0" w:color="auto"/>
        <w:left w:val="none" w:sz="0" w:space="0" w:color="auto"/>
        <w:bottom w:val="none" w:sz="0" w:space="0" w:color="auto"/>
        <w:right w:val="none" w:sz="0" w:space="0" w:color="auto"/>
      </w:divBdr>
    </w:div>
    <w:div w:id="2064020559">
      <w:bodyDiv w:val="1"/>
      <w:marLeft w:val="0"/>
      <w:marRight w:val="0"/>
      <w:marTop w:val="0"/>
      <w:marBottom w:val="0"/>
      <w:divBdr>
        <w:top w:val="none" w:sz="0" w:space="0" w:color="auto"/>
        <w:left w:val="none" w:sz="0" w:space="0" w:color="auto"/>
        <w:bottom w:val="none" w:sz="0" w:space="0" w:color="auto"/>
        <w:right w:val="none" w:sz="0" w:space="0" w:color="auto"/>
      </w:divBdr>
    </w:div>
    <w:div w:id="2093233888">
      <w:bodyDiv w:val="1"/>
      <w:marLeft w:val="0"/>
      <w:marRight w:val="0"/>
      <w:marTop w:val="0"/>
      <w:marBottom w:val="0"/>
      <w:divBdr>
        <w:top w:val="none" w:sz="0" w:space="0" w:color="auto"/>
        <w:left w:val="none" w:sz="0" w:space="0" w:color="auto"/>
        <w:bottom w:val="none" w:sz="0" w:space="0" w:color="auto"/>
        <w:right w:val="none" w:sz="0" w:space="0" w:color="auto"/>
      </w:divBdr>
    </w:div>
    <w:div w:id="2107144080">
      <w:bodyDiv w:val="1"/>
      <w:marLeft w:val="0"/>
      <w:marRight w:val="0"/>
      <w:marTop w:val="0"/>
      <w:marBottom w:val="0"/>
      <w:divBdr>
        <w:top w:val="none" w:sz="0" w:space="0" w:color="auto"/>
        <w:left w:val="none" w:sz="0" w:space="0" w:color="auto"/>
        <w:bottom w:val="none" w:sz="0" w:space="0" w:color="auto"/>
        <w:right w:val="none" w:sz="0" w:space="0" w:color="auto"/>
      </w:divBdr>
    </w:div>
    <w:div w:id="2137481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1_RL1/TSGR1_110b-e/Docs/R1-22096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SharedWithUsers xmlns="9b239327-9e80-40e4-b1b7-4394fed77a33">
      <UserInfo>
        <DisplayName>Ling SU A</DisplayName>
        <AccountId>815</AccountId>
        <AccountType/>
      </UserInfo>
      <UserInfo>
        <DisplayName>Asbjörn Grövlen</DisplayName>
        <AccountId>23</AccountId>
        <AccountType/>
      </UserInfo>
      <UserInfo>
        <DisplayName>Sven Jacobsson</DisplayName>
        <AccountId>1107</AccountId>
        <AccountType/>
      </UserInfo>
      <UserInfo>
        <DisplayName>Jianwei Zhang</DisplayName>
        <AccountId>213</AccountId>
        <AccountType/>
      </UserInfo>
      <UserInfo>
        <DisplayName>Siva Muruganathan</DisplayName>
        <AccountId>207</AccountId>
        <AccountType/>
      </UserInfo>
      <UserInfo>
        <DisplayName>Mattias Frenne</DisplayName>
        <AccountId>202</AccountId>
        <AccountType/>
      </UserInfo>
      <UserInfo>
        <DisplayName>Stephen Grant</DisplayName>
        <AccountId>106</AccountId>
        <AccountType/>
      </UserInfo>
      <UserInfo>
        <DisplayName>Olof Liberg</DisplayName>
        <AccountId>203</AccountId>
        <AccountType/>
      </UserInfo>
      <UserInfo>
        <DisplayName>Sorour Falahati</DisplayName>
        <AccountId>184</AccountId>
        <AccountType/>
      </UserInfo>
      <UserInfo>
        <DisplayName>Magnus Åström</DisplayName>
        <AccountId>19</AccountId>
        <AccountType/>
      </UserInfo>
      <UserInfo>
        <DisplayName>Narendar Madhavan</DisplayName>
        <AccountId>220</AccountId>
        <AccountType/>
      </UserInfo>
      <UserInfo>
        <DisplayName>Claes Tidestav</DisplayName>
        <AccountId>27</AccountId>
        <AccountType/>
      </UserInfo>
      <UserInfo>
        <DisplayName>Mark Harrison</DisplayName>
        <AccountId>200</AccountId>
        <AccountType/>
      </UserInfo>
      <UserInfo>
        <DisplayName>Stefan Eriksson G</DisplayName>
        <AccountId>362</AccountId>
        <AccountType/>
      </UserInfo>
      <UserInfo>
        <DisplayName>Erik Stare</DisplayName>
        <AccountId>212</AccountId>
        <AccountType/>
      </UserInfo>
      <UserInfo>
        <DisplayName>Gerardo Agni Medina Acosta</DisplayName>
        <AccountId>197</AccountId>
        <AccountType/>
      </UserInfo>
      <UserInfo>
        <DisplayName>Jose Leon Calvo</DisplayName>
        <AccountId>703</AccountId>
        <AccountType/>
      </UserInfo>
      <UserInfo>
        <DisplayName>Havish Koorapaty</DisplayName>
        <AccountId>198</AccountId>
        <AccountType/>
      </UserInfo>
      <UserInfo>
        <DisplayName>Ajit Nimbalker</DisplayName>
        <AccountId>210</AccountId>
        <AccountType/>
      </UserInfo>
      <UserInfo>
        <DisplayName>Yufei Blankenship</DisplayName>
        <AccountId>218</AccountId>
        <AccountType/>
      </UserInfo>
      <UserInfo>
        <DisplayName>Henrik Rydén A</DisplayName>
        <AccountId>95</AccountId>
        <AccountType/>
      </UserInfo>
      <UserInfo>
        <DisplayName>Florent Munier</DisplayName>
        <AccountId>189</AccountId>
        <AccountType/>
      </UserInfo>
      <UserInfo>
        <DisplayName>Talha Khan</DisplayName>
        <AccountId>426</AccountId>
        <AccountType/>
      </UserInfo>
      <UserInfo>
        <DisplayName>Ratheesh Kumar Mungara</DisplayName>
        <AccountId>470</AccountId>
        <AccountType/>
      </UserInfo>
      <UserInfo>
        <DisplayName>Sandeep Narayanan Kadan Veedu</DisplayName>
        <AccountId>425</AccountId>
        <AccountType/>
      </UserInfo>
      <UserInfo>
        <DisplayName>Johan Bergman</DisplayName>
        <AccountId>75</AccountId>
        <AccountType/>
      </UserInfo>
      <UserInfo>
        <DisplayName>Ravikiran Nory</DisplayName>
        <AccountId>214</AccountId>
        <AccountType/>
      </UserInfo>
      <UserInfo>
        <DisplayName>Ricardo Blasco</DisplayName>
        <AccountId>205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d8762117-8292-4133-b1c7-eab5c6487cfd"/>
    <ds:schemaRef ds:uri="2f282d3b-eb4a-4b09-b61f-b9593442e286"/>
    <ds:schemaRef ds:uri="http://schemas.microsoft.com/office/infopath/2007/PartnerControls"/>
    <ds:schemaRef ds:uri="9b239327-9e80-40e4-b1b7-4394fed77a33"/>
  </ds:schemaRefs>
</ds:datastoreItem>
</file>

<file path=customXml/itemProps3.xml><?xml version="1.0" encoding="utf-8"?>
<ds:datastoreItem xmlns:ds="http://schemas.openxmlformats.org/officeDocument/2006/customXml" ds:itemID="{C03CCBF2-5626-475C-9A8D-D2A36B12A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CB0B95-7482-40A0-9201-0EEBC5D04F8E}">
  <ds:schemaRefs>
    <ds:schemaRef ds:uri="http://schemas.openxmlformats.org/officeDocument/2006/bibliography"/>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E05DCFAE-C36D-427D-AA40-65A3874C07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15</Pages>
  <Words>5331</Words>
  <Characters>31425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36683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Gilles Charbit</dc:creator>
  <cp:keywords>Unrestricted, &lt;keyword[, keyword]&gt;</cp:keywords>
  <cp:lastModifiedBy>Beale, Martin</cp:lastModifiedBy>
  <cp:revision>21</cp:revision>
  <cp:lastPrinted>2017-11-03T15:53:00Z</cp:lastPrinted>
  <dcterms:created xsi:type="dcterms:W3CDTF">2022-10-13T11:50:00Z</dcterms:created>
  <dcterms:modified xsi:type="dcterms:W3CDTF">2022-10-13T19:50:00Z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2052-11.8.2.10393</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1661232993</vt:lpwstr>
  </property>
</Properties>
</file>