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Pr="003927C1" w:rsidRDefault="00F36830">
      <w:pPr>
        <w:tabs>
          <w:tab w:val="right" w:pos="9216"/>
        </w:tabs>
        <w:rPr>
          <w:b/>
          <w:kern w:val="2"/>
          <w:lang w:val="de-DE"/>
        </w:rPr>
      </w:pPr>
      <w:r>
        <w:rPr>
          <w:b/>
          <w:noProof/>
          <w:kern w:val="2"/>
          <w:lang w:eastAsia="ko-KR"/>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af3"/>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af3"/>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a3"/>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af"/>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130B0652" w14:textId="6B2DB50B" w:rsidR="00F335C4"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39DED515" w14:textId="77777777" w:rsidR="000540D8"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p w14:paraId="5D779C7B" w14:textId="34A16437"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2E8E66CD" w14:textId="77777777" w:rsidR="008D3A9C" w:rsidRDefault="008D3A9C" w:rsidP="001D54E3">
            <w:pPr>
              <w:rPr>
                <w:rFonts w:eastAsiaTheme="minorEastAsia"/>
                <w:sz w:val="18"/>
              </w:rPr>
            </w:pPr>
            <w:r>
              <w:rPr>
                <w:rFonts w:eastAsiaTheme="minorEastAsia"/>
                <w:sz w:val="18"/>
              </w:rPr>
              <w:t>Lenovo: OK to prioritize this issue.</w:t>
            </w:r>
          </w:p>
          <w:p w14:paraId="16F0C323" w14:textId="280A91A1"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38818815" w14:textId="77777777" w:rsidR="00666DFA" w:rsidRDefault="00666DFA" w:rsidP="001D54E3">
            <w:pPr>
              <w:rPr>
                <w:rFonts w:eastAsiaTheme="minorEastAsia"/>
                <w:sz w:val="18"/>
              </w:rPr>
            </w:pPr>
            <w:r>
              <w:rPr>
                <w:rFonts w:eastAsiaTheme="minorEastAsia"/>
                <w:sz w:val="18"/>
              </w:rPr>
              <w:t>Ericsson: OK to discuss</w:t>
            </w:r>
          </w:p>
          <w:p w14:paraId="24CE82B9" w14:textId="5C4E691D"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4723756C" w14:textId="77777777" w:rsidR="008D3A9C" w:rsidRDefault="008D3A9C" w:rsidP="001D54E3">
            <w:pPr>
              <w:rPr>
                <w:rFonts w:eastAsiaTheme="minorEastAsia"/>
                <w:sz w:val="18"/>
              </w:rPr>
            </w:pPr>
            <w:r>
              <w:rPr>
                <w:rFonts w:eastAsiaTheme="minorEastAsia"/>
                <w:sz w:val="18"/>
              </w:rPr>
              <w:t>Lenovo: OK to prioritize this issue.</w:t>
            </w:r>
          </w:p>
          <w:p w14:paraId="04057A29" w14:textId="365C7BB0"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lastRenderedPageBreak/>
              <w:t xml:space="preserve">FL doubt to reach solution with 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lastRenderedPageBreak/>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[Ericsson]: As explained in our contribution, we strongly prefer to support Case 2/3 with cDAI*. However, since remaining time is very limited and we do not see any emerging consensus on this, as a minimum, we think the current agreement to support Case 1 can be extended to support Case 2 with cDAI.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Opt 2-1-1 are supported: </w:t>
            </w:r>
          </w:p>
          <w:p w14:paraId="45055301" w14:textId="77777777" w:rsidR="00F8551D" w:rsidRPr="000F0699" w:rsidRDefault="00F8551D" w:rsidP="00F8551D">
            <w:pPr>
              <w:numPr>
                <w:ilvl w:val="0"/>
                <w:numId w:val="18"/>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F8551D">
            <w:pPr>
              <w:numPr>
                <w:ilvl w:val="0"/>
                <w:numId w:val="19"/>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F8551D">
            <w:pPr>
              <w:numPr>
                <w:ilvl w:val="1"/>
                <w:numId w:val="20"/>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479F0A" w14:textId="3B5AD672" w:rsidR="00307837" w:rsidRDefault="00307837" w:rsidP="00307837">
            <w:pPr>
              <w:rPr>
                <w:rFonts w:eastAsiaTheme="minorEastAsia"/>
                <w:sz w:val="18"/>
              </w:rPr>
            </w:pPr>
            <w:r>
              <w:rPr>
                <w:rFonts w:eastAsiaTheme="minorEastAsia"/>
                <w:sz w:val="18"/>
              </w:rPr>
              <w:t>[LGE]: we are fine not to support case 2 and case 3.</w:t>
            </w:r>
          </w:p>
          <w:p w14:paraId="6A2BBD09" w14:textId="26964F82" w:rsidR="008D3A9C" w:rsidRPr="00307837" w:rsidRDefault="008D3A9C" w:rsidP="001D54E3">
            <w:pPr>
              <w:rPr>
                <w:rFonts w:eastAsiaTheme="minorEastAsia"/>
                <w:sz w:val="18"/>
              </w:rPr>
            </w:pP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3AF64DC8" w14:textId="77777777" w:rsidR="008D3A9C" w:rsidRDefault="008D3A9C" w:rsidP="001D54E3">
            <w:pPr>
              <w:rPr>
                <w:rFonts w:eastAsiaTheme="minorEastAsia"/>
                <w:sz w:val="18"/>
              </w:rPr>
            </w:pPr>
            <w:r>
              <w:rPr>
                <w:rFonts w:eastAsiaTheme="minorEastAsia"/>
                <w:sz w:val="18"/>
              </w:rPr>
              <w:t>Lenovo: OK to prioritize this issue.</w:t>
            </w:r>
          </w:p>
          <w:p w14:paraId="3AAC4931" w14:textId="77777777" w:rsidR="008D5E58" w:rsidRDefault="008D5E58" w:rsidP="001D54E3">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A</w:t>
            </w:r>
            <w:r>
              <w:rPr>
                <w:rFonts w:eastAsiaTheme="minorEastAsia"/>
                <w:sz w:val="18"/>
              </w:rPr>
              <w:t>gree with FL initial assessment</w:t>
            </w:r>
          </w:p>
          <w:p w14:paraId="55FB8116" w14:textId="7E80ACAC" w:rsidR="00307837" w:rsidRPr="008D5E58" w:rsidRDefault="00307837" w:rsidP="001D54E3">
            <w:pPr>
              <w:rPr>
                <w:rFonts w:eastAsiaTheme="minorEastAsia"/>
                <w:b/>
                <w:bCs/>
                <w:sz w:val="18"/>
              </w:rPr>
            </w:pPr>
            <w:r>
              <w:rPr>
                <w:rFonts w:eastAsiaTheme="minorEastAsia" w:hint="eastAsia"/>
                <w:sz w:val="18"/>
              </w:rPr>
              <w:t>[</w:t>
            </w:r>
            <w:r>
              <w:rPr>
                <w:rFonts w:eastAsiaTheme="minorEastAsia"/>
                <w:sz w:val="18"/>
              </w:rPr>
              <w:t>LGE]: agree with FL’s assessment.</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296D3474" w14:textId="77777777" w:rsidR="00006662" w:rsidRDefault="00DC66E4" w:rsidP="00935ECF">
            <w:pPr>
              <w:rPr>
                <w:rFonts w:eastAsiaTheme="minorEastAsia"/>
                <w:sz w:val="18"/>
              </w:rPr>
            </w:pPr>
            <w:r>
              <w:rPr>
                <w:rFonts w:eastAsiaTheme="minorEastAsia" w:hint="eastAsia"/>
                <w:sz w:val="18"/>
              </w:rPr>
              <w:t>M</w:t>
            </w:r>
            <w:r>
              <w:rPr>
                <w:rFonts w:eastAsiaTheme="minorEastAsia"/>
                <w:sz w:val="18"/>
              </w:rPr>
              <w:t>TK: Not a critical issue and suggest to deprioritize the discussion</w:t>
            </w:r>
          </w:p>
          <w:p w14:paraId="01E48753" w14:textId="54DB8815" w:rsidR="00307837" w:rsidRPr="00FA1B49" w:rsidRDefault="00307837" w:rsidP="00307837">
            <w:pPr>
              <w:rPr>
                <w:rFonts w:eastAsiaTheme="minorEastAsia"/>
                <w:sz w:val="18"/>
              </w:rPr>
            </w:pPr>
            <w:r>
              <w:rPr>
                <w:rFonts w:eastAsiaTheme="minorEastAsia" w:hint="eastAsia"/>
                <w:sz w:val="18"/>
              </w:rPr>
              <w:t>[</w:t>
            </w:r>
            <w:r>
              <w:rPr>
                <w:rFonts w:eastAsiaTheme="minorEastAsia"/>
                <w:sz w:val="18"/>
              </w:rPr>
              <w:t>LGE]: The issue is not essential and suggest to deprioritize the discussion</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CFD1BB9" w14:textId="19E7CF67" w:rsidR="00DC66E4" w:rsidRPr="00FA1B49"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05007256" w14:textId="77777777" w:rsidR="00405FC6"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7DB7FA9D" w14:textId="1BA019C5" w:rsidR="00307837" w:rsidRPr="00307837" w:rsidRDefault="00307837" w:rsidP="00935ECF">
            <w:pPr>
              <w:rPr>
                <w:rFonts w:eastAsia="맑은 고딕" w:hint="eastAsia"/>
                <w:sz w:val="18"/>
                <w:lang w:eastAsia="ko-KR"/>
              </w:rPr>
            </w:pPr>
            <w:r>
              <w:rPr>
                <w:rFonts w:eastAsia="맑은 고딕" w:hint="eastAsia"/>
                <w:sz w:val="18"/>
                <w:lang w:eastAsia="ko-KR"/>
              </w:rPr>
              <w:t>[LGE] OK to discuss.</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60A07A64" w14:textId="77777777" w:rsidR="00935ECF" w:rsidRDefault="004A7C39" w:rsidP="00935ECF">
            <w:pPr>
              <w:rPr>
                <w:rFonts w:eastAsiaTheme="minorEastAsia"/>
                <w:sz w:val="18"/>
              </w:rPr>
            </w:pPr>
            <w:r>
              <w:rPr>
                <w:rFonts w:eastAsiaTheme="minorEastAsia"/>
                <w:sz w:val="18"/>
              </w:rPr>
              <w:t>Ericsson: OK to discuss</w:t>
            </w:r>
          </w:p>
          <w:p w14:paraId="66906B83" w14:textId="77777777" w:rsidR="008D5E58" w:rsidRDefault="008D5E58" w:rsidP="00935ECF">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 xml:space="preserve"> As</w:t>
            </w:r>
            <w:r>
              <w:rPr>
                <w:rFonts w:eastAsiaTheme="minorEastAsia"/>
                <w:sz w:val="18"/>
              </w:rPr>
              <w:t xml:space="preserve"> noted by FL, the specification is incomplete if this change is not included. We think this clarification</w:t>
            </w:r>
            <w:r w:rsidR="00BB1CDD">
              <w:rPr>
                <w:rFonts w:eastAsiaTheme="minorEastAsia"/>
                <w:sz w:val="18"/>
              </w:rPr>
              <w:t xml:space="preserve"> is essential</w:t>
            </w:r>
            <w:r>
              <w:rPr>
                <w:rFonts w:eastAsiaTheme="minorEastAsia"/>
                <w:sz w:val="18"/>
              </w:rPr>
              <w:t xml:space="preserve"> for the generation of Type-3 HARQ-ACK codebook when NAKC-only reporting mode configured. </w:t>
            </w:r>
          </w:p>
          <w:p w14:paraId="04D98949" w14:textId="4D7966CB" w:rsidR="00307837" w:rsidRPr="00FA1B49" w:rsidRDefault="00307837" w:rsidP="00935ECF">
            <w:pPr>
              <w:rPr>
                <w:rFonts w:eastAsiaTheme="minorEastAsia"/>
                <w:sz w:val="18"/>
              </w:rPr>
            </w:pPr>
            <w:r>
              <w:rPr>
                <w:rFonts w:eastAsia="맑은 고딕" w:hint="eastAsia"/>
                <w:sz w:val="18"/>
                <w:lang w:eastAsia="ko-KR"/>
              </w:rPr>
              <w:t>[LGE] OK to discuss.</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af7"/>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935ECF">
            <w:pPr>
              <w:pStyle w:val="af7"/>
              <w:numPr>
                <w:ilvl w:val="0"/>
                <w:numId w:val="59"/>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935ECF">
            <w:pPr>
              <w:pStyle w:val="af7"/>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45694A4B" w14:textId="77777777" w:rsidR="00935ECF" w:rsidRDefault="00C91841" w:rsidP="00935ECF">
            <w:pPr>
              <w:rPr>
                <w:rFonts w:eastAsiaTheme="minorEastAsia"/>
                <w:sz w:val="18"/>
              </w:rPr>
            </w:pPr>
            <w:r>
              <w:rPr>
                <w:rFonts w:eastAsiaTheme="minorEastAsia"/>
                <w:sz w:val="18"/>
              </w:rPr>
              <w:t>Ericsson: seem no change would be required. In the existing rules, NACK-only mode2 will be transformed to ACK-NACK harq before being multiplexed on PUSCH.</w:t>
            </w:r>
          </w:p>
          <w:p w14:paraId="32E0DB76" w14:textId="61707E44" w:rsidR="00307837" w:rsidRPr="00FA1B49" w:rsidRDefault="00307837" w:rsidP="00307837">
            <w:pPr>
              <w:rPr>
                <w:rFonts w:eastAsiaTheme="minorEastAsia"/>
                <w:sz w:val="18"/>
              </w:rPr>
            </w:pPr>
            <w:r>
              <w:rPr>
                <w:rFonts w:eastAsia="맑은 고딕" w:hint="eastAsia"/>
                <w:sz w:val="18"/>
                <w:lang w:eastAsia="ko-KR"/>
              </w:rPr>
              <w:t>[LGE] OK to discuss.</w:t>
            </w:r>
            <w:r>
              <w:rPr>
                <w:rFonts w:eastAsia="맑은 고딕"/>
                <w:sz w:val="18"/>
                <w:lang w:eastAsia="ko-KR"/>
              </w:rPr>
              <w:t xml:space="preserve"> We are not sure whether we have common understanding and everything is clear from the current spec.</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Ericsson: OK to discuss, but we don’t think the harq disabled mode for NTN should affect Multicast</w:t>
            </w:r>
            <w:r w:rsidR="006B6809">
              <w:rPr>
                <w:rFonts w:eastAsiaTheme="minorEastAsia"/>
                <w:sz w:val="18"/>
              </w:rPr>
              <w:t xml:space="preserve">. </w:t>
            </w:r>
            <w:r w:rsidR="00CC1251">
              <w:rPr>
                <w:rFonts w:eastAsiaTheme="minorEastAsia"/>
                <w:sz w:val="18"/>
              </w:rPr>
              <w:t xml:space="preserve">In our understanding, the Harq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383FD6B2" w14:textId="6EB3E82A" w:rsidR="00DA5BC6" w:rsidRPr="00FA1B49"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w:t>
            </w:r>
            <w:r>
              <w:rPr>
                <w:rFonts w:eastAsia="等线"/>
                <w:i/>
                <w:color w:val="FF0000"/>
                <w:sz w:val="18"/>
                <w:szCs w:val="18"/>
              </w:rPr>
              <w:lastRenderedPageBreak/>
              <w:t>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lastRenderedPageBreak/>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lastRenderedPageBreak/>
              <w:t xml:space="preserve">Not an essential </w:t>
            </w:r>
            <w:r>
              <w:rPr>
                <w:rFonts w:eastAsiaTheme="minorEastAsia"/>
                <w:color w:val="FF0000"/>
                <w:sz w:val="18"/>
              </w:rPr>
              <w:lastRenderedPageBreak/>
              <w:t>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lastRenderedPageBreak/>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lastRenderedPageBreak/>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14E3299D" w14:textId="275DA9A6" w:rsidR="00DA5BC6" w:rsidRPr="00FA1B49" w:rsidRDefault="00DA5BC6" w:rsidP="00935ECF">
            <w:pPr>
              <w:rPr>
                <w:rFonts w:eastAsiaTheme="minor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3030300C" w14:textId="059C6FDE" w:rsidR="008A3BC0" w:rsidRPr="00FA1B49" w:rsidRDefault="008A3BC0" w:rsidP="00935ECF">
            <w:pPr>
              <w:rPr>
                <w:rFonts w:eastAsiaTheme="minorEastAsia"/>
                <w:sz w:val="18"/>
              </w:rPr>
            </w:pP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a3"/>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af"/>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SimSun"/>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 xml:space="preserve">: </w:t>
            </w:r>
            <w:r>
              <w:rPr>
                <w:rFonts w:eastAsia="SimSun"/>
                <w:sz w:val="18"/>
                <w:szCs w:val="18"/>
              </w:rPr>
              <w:t xml:space="preserve">Do </w:t>
            </w:r>
            <w:r>
              <w:rPr>
                <w:rFonts w:eastAsia="SimSun" w:hint="eastAsia"/>
                <w:sz w:val="18"/>
                <w:szCs w:val="18"/>
              </w:rPr>
              <w:t>not agree</w:t>
            </w:r>
            <w:r w:rsidR="008336A3">
              <w:rPr>
                <w:rFonts w:eastAsia="SimSun"/>
                <w:sz w:val="18"/>
                <w:szCs w:val="18"/>
              </w:rPr>
              <w:t>.</w:t>
            </w:r>
            <w:r>
              <w:rPr>
                <w:rFonts w:eastAsia="SimSun" w:hint="eastAsia"/>
                <w:sz w:val="18"/>
                <w:szCs w:val="18"/>
              </w:rPr>
              <w:t xml:space="preserve"> </w:t>
            </w:r>
            <w:r w:rsidR="00A05258">
              <w:rPr>
                <w:rFonts w:eastAsia="SimSun"/>
                <w:sz w:val="18"/>
                <w:szCs w:val="18"/>
              </w:rPr>
              <w:t>T</w:t>
            </w:r>
            <w:r>
              <w:rPr>
                <w:rFonts w:eastAsia="SimSun" w:hint="eastAsia"/>
                <w:sz w:val="18"/>
                <w:szCs w:val="18"/>
              </w:rPr>
              <w:t xml:space="preserve">he issue has been discussed for several meetings </w:t>
            </w:r>
            <w:r w:rsidR="008336A3">
              <w:rPr>
                <w:rFonts w:eastAsia="SimSun"/>
                <w:sz w:val="18"/>
                <w:szCs w:val="18"/>
              </w:rPr>
              <w:t xml:space="preserve">without big progress </w:t>
            </w:r>
            <w:r>
              <w:rPr>
                <w:rFonts w:eastAsia="SimSun"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062CE961" w14:textId="5D69353B" w:rsidR="00F04855" w:rsidRPr="00F95861" w:rsidRDefault="00F95861" w:rsidP="007952C4">
            <w:pPr>
              <w:snapToGrid w:val="0"/>
              <w:rPr>
                <w:rFonts w:eastAsiaTheme="minorEastAsia"/>
                <w:sz w:val="18"/>
                <w:szCs w:val="18"/>
              </w:rPr>
            </w:pPr>
            <w:r>
              <w:rPr>
                <w:rFonts w:eastAsiaTheme="minorEastAsia" w:hint="eastAsia"/>
                <w:sz w:val="18"/>
                <w:szCs w:val="18"/>
              </w:rPr>
              <w:t>[</w:t>
            </w:r>
            <w:r>
              <w:rPr>
                <w:rFonts w:eastAsiaTheme="minorEastAsia"/>
                <w:sz w:val="18"/>
                <w:szCs w:val="18"/>
              </w:rPr>
              <w:t>MTK]: share the similar view with ZTE</w:t>
            </w: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r w:rsidR="002A2219">
              <w:rPr>
                <w:i/>
                <w:iCs/>
                <w:sz w:val="20"/>
                <w:szCs w:val="20"/>
              </w:rPr>
              <w:t xml:space="preserve">searchspaceMCCH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48A2E710" w14:textId="3612996B" w:rsidR="002A2219" w:rsidRPr="00DA4707" w:rsidRDefault="002A2219"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SimSun"/>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Pr="00307837"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1FFDF515" w14:textId="77777777" w:rsidR="00435B31" w:rsidRDefault="00AF6A53" w:rsidP="007952C4">
            <w:pPr>
              <w:snapToGrid w:val="0"/>
              <w:rPr>
                <w:sz w:val="18"/>
                <w:szCs w:val="18"/>
              </w:rPr>
            </w:pPr>
            <w:r>
              <w:rPr>
                <w:sz w:val="18"/>
                <w:szCs w:val="18"/>
              </w:rPr>
              <w:t>Ericsson: we think it is not critical. The network will have to ensure that TCI states are consistently configured across UEs.</w:t>
            </w:r>
          </w:p>
          <w:p w14:paraId="5A875B73" w14:textId="0F841623" w:rsidR="00307837" w:rsidRPr="00307837" w:rsidRDefault="00307837" w:rsidP="00761B9E">
            <w:pPr>
              <w:snapToGrid w:val="0"/>
              <w:rPr>
                <w:sz w:val="18"/>
                <w:szCs w:val="18"/>
              </w:rPr>
            </w:pPr>
            <w:r>
              <w:rPr>
                <w:rFonts w:eastAsia="SimSun"/>
                <w:sz w:val="18"/>
                <w:szCs w:val="18"/>
              </w:rPr>
              <w:t>[LGE]</w:t>
            </w:r>
            <w:r>
              <w:rPr>
                <w:rFonts w:eastAsia="SimSun" w:hint="eastAsia"/>
                <w:sz w:val="18"/>
                <w:szCs w:val="18"/>
              </w:rPr>
              <w:t>:</w:t>
            </w:r>
            <w:r w:rsidR="00761B9E">
              <w:rPr>
                <w:rFonts w:eastAsia="SimSun"/>
                <w:sz w:val="18"/>
                <w:szCs w:val="18"/>
              </w:rPr>
              <w:t>We think that the current spec cannot work.</w:t>
            </w:r>
            <w:r>
              <w:rPr>
                <w:rFonts w:eastAsiaTheme="minorEastAsia"/>
                <w:sz w:val="18"/>
              </w:rPr>
              <w:t xml:space="preserve"> How can the network ensure same UE capabilities </w:t>
            </w:r>
            <w:r w:rsidR="00761B9E">
              <w:rPr>
                <w:rFonts w:eastAsiaTheme="minorEastAsia"/>
                <w:sz w:val="18"/>
              </w:rPr>
              <w:t xml:space="preserve">of </w:t>
            </w:r>
            <w:r w:rsidR="00761B9E" w:rsidRPr="00435B31">
              <w:rPr>
                <w:rFonts w:eastAsia="等线"/>
                <w:sz w:val="18"/>
                <w:szCs w:val="18"/>
              </w:rPr>
              <w:t>timeDurationForQCL</w:t>
            </w:r>
            <w:r w:rsidR="00761B9E" w:rsidRPr="00435B31">
              <w:rPr>
                <w:rFonts w:eastAsia="等线" w:hint="eastAsia"/>
                <w:sz w:val="18"/>
                <w:szCs w:val="18"/>
              </w:rPr>
              <w:t xml:space="preserve"> </w:t>
            </w:r>
            <w:r w:rsidR="00761B9E">
              <w:rPr>
                <w:rFonts w:eastAsiaTheme="minorEastAsia"/>
                <w:sz w:val="18"/>
              </w:rPr>
              <w:t>across</w:t>
            </w:r>
            <w:r>
              <w:rPr>
                <w:rFonts w:eastAsiaTheme="minorEastAsia"/>
                <w:sz w:val="18"/>
              </w:rPr>
              <w:t xml:space="preserve"> </w:t>
            </w:r>
            <w:r w:rsidR="00761B9E">
              <w:rPr>
                <w:rFonts w:eastAsiaTheme="minorEastAsia"/>
                <w:sz w:val="18"/>
              </w:rPr>
              <w:t xml:space="preserve">different </w:t>
            </w:r>
            <w:r>
              <w:rPr>
                <w:rFonts w:eastAsiaTheme="minorEastAsia"/>
                <w:sz w:val="18"/>
              </w:rPr>
              <w:t>UE</w:t>
            </w:r>
            <w:r w:rsidR="00761B9E">
              <w:rPr>
                <w:rFonts w:eastAsiaTheme="minorEastAsia"/>
                <w:sz w:val="18"/>
              </w:rPr>
              <w:t>s</w:t>
            </w:r>
            <w:r>
              <w:rPr>
                <w:rFonts w:eastAsiaTheme="minorEastAsia"/>
                <w:sz w:val="18"/>
              </w:rPr>
              <w:t xml:space="preserve"> receiving the same G-RNTI?</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[vivo] We think it should be discussed at least for the case UE is only capable of receiving FDMed unicast and multicast PDSCH, otherwise, the spec is incomplete.</w:t>
            </w:r>
          </w:p>
          <w:p w14:paraId="024D58A7" w14:textId="77777777" w:rsidR="008336A3" w:rsidRDefault="008336A3" w:rsidP="007952C4">
            <w:pPr>
              <w:snapToGrid w:val="0"/>
              <w:rPr>
                <w:rFonts w:eastAsia="SimSun"/>
                <w:sz w:val="18"/>
                <w:szCs w:val="18"/>
              </w:rPr>
            </w:pPr>
            <w:r>
              <w:rPr>
                <w:sz w:val="18"/>
                <w:szCs w:val="18"/>
              </w:rPr>
              <w:t xml:space="preserve">[ZTE]: </w:t>
            </w:r>
            <w:r>
              <w:rPr>
                <w:rFonts w:eastAsia="SimSun" w:hint="eastAsia"/>
                <w:sz w:val="18"/>
                <w:szCs w:val="18"/>
              </w:rPr>
              <w:t xml:space="preserve"> </w:t>
            </w:r>
            <w:r>
              <w:rPr>
                <w:rFonts w:eastAsia="SimSun"/>
                <w:sz w:val="18"/>
                <w:szCs w:val="18"/>
              </w:rPr>
              <w:t>We prefer</w:t>
            </w:r>
            <w:r>
              <w:rPr>
                <w:rFonts w:eastAsia="SimSun" w:hint="eastAsia"/>
                <w:sz w:val="18"/>
                <w:szCs w:val="18"/>
              </w:rPr>
              <w:t xml:space="preserve"> to discuss this </w:t>
            </w:r>
            <w:r w:rsidR="002460AE">
              <w:rPr>
                <w:rFonts w:eastAsia="SimSun"/>
                <w:sz w:val="18"/>
                <w:szCs w:val="18"/>
              </w:rPr>
              <w:t xml:space="preserve">issue </w:t>
            </w:r>
            <w:r>
              <w:rPr>
                <w:rFonts w:eastAsia="SimSun"/>
                <w:sz w:val="18"/>
                <w:szCs w:val="18"/>
              </w:rPr>
              <w:t>and we share the same view with vivo.</w:t>
            </w:r>
          </w:p>
          <w:p w14:paraId="36F98D53" w14:textId="6C4EC061"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SimSun"/>
                <w:sz w:val="18"/>
                <w:szCs w:val="18"/>
              </w:rPr>
              <w:t>[</w:t>
            </w:r>
            <w:r>
              <w:rPr>
                <w:rFonts w:eastAsia="SimSun" w:hint="eastAsia"/>
                <w:sz w:val="18"/>
                <w:szCs w:val="18"/>
              </w:rPr>
              <w:t>ZTE</w:t>
            </w:r>
            <w:r>
              <w:rPr>
                <w:rFonts w:eastAsia="SimSun"/>
                <w:sz w:val="18"/>
                <w:szCs w:val="18"/>
              </w:rPr>
              <w:t>]</w:t>
            </w:r>
            <w:r>
              <w:rPr>
                <w:rFonts w:eastAsia="SimSun" w:hint="eastAsia"/>
                <w:sz w:val="18"/>
                <w:szCs w:val="18"/>
              </w:rPr>
              <w:t>:</w:t>
            </w:r>
            <w:r>
              <w:rPr>
                <w:rFonts w:eastAsiaTheme="minorEastAsia"/>
                <w:sz w:val="18"/>
              </w:rPr>
              <w:t xml:space="preserve"> Agree with FL initial assessment.</w:t>
            </w:r>
            <w:bookmarkStart w:id="6" w:name="_GoBack"/>
            <w:bookmarkEnd w:id="6"/>
          </w:p>
        </w:tc>
      </w:tr>
    </w:tbl>
    <w:p w14:paraId="16F88CDA" w14:textId="0CD326FE" w:rsidR="005801A4" w:rsidRPr="0010740A" w:rsidRDefault="007952C4" w:rsidP="008A612B">
      <w:pPr>
        <w:rPr>
          <w:rFonts w:eastAsiaTheme="minorEastAsia"/>
        </w:rPr>
      </w:pPr>
      <w:r>
        <w:rPr>
          <w:rFonts w:eastAsiaTheme="minorEastAsia"/>
        </w:rPr>
        <w:lastRenderedPageBreak/>
        <w:br w:type="textWrapping" w:clear="all"/>
      </w:r>
    </w:p>
    <w:p w14:paraId="5840325A" w14:textId="77777777" w:rsidR="005801A4" w:rsidRDefault="005801A4">
      <w:pPr>
        <w:pStyle w:val="1"/>
        <w:numPr>
          <w:ilvl w:val="0"/>
          <w:numId w:val="0"/>
        </w:numPr>
      </w:pPr>
      <w:bookmarkStart w:id="7" w:name="_Ref71620620"/>
      <w:bookmarkStart w:id="8" w:name="_Ref124671424"/>
      <w:bookmarkStart w:id="9" w:name="_Ref124589665"/>
      <w:r>
        <w:lastRenderedPageBreak/>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3"/>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307837" w:rsidP="000106D1">
      <w:pPr>
        <w:pStyle w:val="References"/>
        <w:spacing w:after="0" w:line="240" w:lineRule="auto"/>
        <w:contextualSpacing/>
        <w:rPr>
          <w:sz w:val="22"/>
        </w:rPr>
      </w:pPr>
      <w:hyperlink r:id="rId16" w:history="1">
        <w:r w:rsidR="00312504" w:rsidRPr="000106D1">
          <w:rPr>
            <w:rStyle w:val="af3"/>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307837" w:rsidP="000106D1">
      <w:pPr>
        <w:pStyle w:val="References"/>
        <w:spacing w:after="0" w:line="240" w:lineRule="auto"/>
        <w:contextualSpacing/>
        <w:rPr>
          <w:sz w:val="22"/>
        </w:rPr>
      </w:pPr>
      <w:hyperlink r:id="rId17" w:history="1">
        <w:r w:rsidR="00312504" w:rsidRPr="000106D1">
          <w:rPr>
            <w:rStyle w:val="af3"/>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307837" w:rsidP="000106D1">
      <w:pPr>
        <w:pStyle w:val="References"/>
        <w:spacing w:after="0" w:line="240" w:lineRule="auto"/>
        <w:contextualSpacing/>
        <w:rPr>
          <w:sz w:val="22"/>
        </w:rPr>
      </w:pPr>
      <w:hyperlink r:id="rId18" w:history="1">
        <w:r w:rsidR="00312504" w:rsidRPr="000106D1">
          <w:rPr>
            <w:rStyle w:val="af3"/>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307837" w:rsidP="000106D1">
      <w:pPr>
        <w:pStyle w:val="References"/>
        <w:spacing w:after="0" w:line="240" w:lineRule="auto"/>
        <w:contextualSpacing/>
        <w:rPr>
          <w:sz w:val="22"/>
        </w:rPr>
      </w:pPr>
      <w:hyperlink r:id="rId19" w:history="1">
        <w:r w:rsidR="00312504" w:rsidRPr="000106D1">
          <w:rPr>
            <w:rStyle w:val="af3"/>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307837" w:rsidP="000106D1">
      <w:pPr>
        <w:pStyle w:val="References"/>
        <w:spacing w:after="0" w:line="240" w:lineRule="auto"/>
        <w:contextualSpacing/>
        <w:rPr>
          <w:sz w:val="22"/>
        </w:rPr>
      </w:pPr>
      <w:hyperlink r:id="rId20" w:history="1">
        <w:r w:rsidR="00312504" w:rsidRPr="000106D1">
          <w:rPr>
            <w:rStyle w:val="af3"/>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307837" w:rsidP="000106D1">
      <w:pPr>
        <w:pStyle w:val="References"/>
        <w:spacing w:after="0" w:line="240" w:lineRule="auto"/>
        <w:contextualSpacing/>
        <w:rPr>
          <w:sz w:val="22"/>
        </w:rPr>
      </w:pPr>
      <w:hyperlink r:id="rId21" w:history="1">
        <w:r w:rsidR="00312504" w:rsidRPr="000106D1">
          <w:rPr>
            <w:rStyle w:val="af3"/>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307837" w:rsidP="000106D1">
      <w:pPr>
        <w:pStyle w:val="References"/>
        <w:spacing w:after="0" w:line="240" w:lineRule="auto"/>
        <w:contextualSpacing/>
        <w:rPr>
          <w:sz w:val="22"/>
        </w:rPr>
      </w:pPr>
      <w:hyperlink r:id="rId22" w:history="1">
        <w:r w:rsidR="00312504" w:rsidRPr="000106D1">
          <w:rPr>
            <w:rStyle w:val="af3"/>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307837" w:rsidP="000106D1">
      <w:pPr>
        <w:pStyle w:val="References"/>
        <w:spacing w:after="0" w:line="240" w:lineRule="auto"/>
        <w:contextualSpacing/>
        <w:rPr>
          <w:sz w:val="22"/>
        </w:rPr>
      </w:pPr>
      <w:hyperlink r:id="rId23" w:history="1">
        <w:r w:rsidR="00312504" w:rsidRPr="000106D1">
          <w:rPr>
            <w:rStyle w:val="af3"/>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307837" w:rsidP="000106D1">
      <w:pPr>
        <w:pStyle w:val="References"/>
        <w:spacing w:after="0" w:line="240" w:lineRule="auto"/>
        <w:contextualSpacing/>
        <w:rPr>
          <w:sz w:val="22"/>
        </w:rPr>
      </w:pPr>
      <w:hyperlink r:id="rId24" w:history="1">
        <w:r w:rsidR="00312504" w:rsidRPr="000106D1">
          <w:rPr>
            <w:rStyle w:val="af3"/>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307837" w:rsidP="000106D1">
      <w:pPr>
        <w:pStyle w:val="References"/>
        <w:spacing w:after="0" w:line="240" w:lineRule="auto"/>
        <w:contextualSpacing/>
        <w:rPr>
          <w:sz w:val="22"/>
        </w:rPr>
      </w:pPr>
      <w:hyperlink r:id="rId25" w:history="1">
        <w:r w:rsidR="00312504" w:rsidRPr="000106D1">
          <w:rPr>
            <w:rStyle w:val="af3"/>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307837" w:rsidP="000106D1">
      <w:pPr>
        <w:pStyle w:val="References"/>
        <w:spacing w:after="0" w:line="240" w:lineRule="auto"/>
        <w:contextualSpacing/>
        <w:rPr>
          <w:sz w:val="22"/>
        </w:rPr>
      </w:pPr>
      <w:hyperlink r:id="rId26" w:history="1">
        <w:r w:rsidR="00312504" w:rsidRPr="000106D1">
          <w:rPr>
            <w:rStyle w:val="af3"/>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307837" w:rsidP="000106D1">
      <w:pPr>
        <w:pStyle w:val="References"/>
        <w:spacing w:after="0" w:line="240" w:lineRule="auto"/>
        <w:contextualSpacing/>
        <w:rPr>
          <w:sz w:val="22"/>
        </w:rPr>
      </w:pPr>
      <w:hyperlink r:id="rId27" w:history="1">
        <w:r w:rsidR="00312504" w:rsidRPr="000106D1">
          <w:rPr>
            <w:rStyle w:val="af3"/>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307837" w:rsidP="000106D1">
      <w:pPr>
        <w:pStyle w:val="References"/>
        <w:spacing w:after="0" w:line="240" w:lineRule="auto"/>
        <w:contextualSpacing/>
        <w:rPr>
          <w:sz w:val="22"/>
        </w:rPr>
      </w:pPr>
      <w:hyperlink r:id="rId28" w:history="1">
        <w:r w:rsidR="00312504" w:rsidRPr="000106D1">
          <w:rPr>
            <w:rStyle w:val="af3"/>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307837" w:rsidP="000106D1">
      <w:pPr>
        <w:pStyle w:val="References"/>
        <w:spacing w:after="0" w:line="240" w:lineRule="auto"/>
        <w:contextualSpacing/>
        <w:rPr>
          <w:sz w:val="22"/>
        </w:rPr>
      </w:pPr>
      <w:hyperlink r:id="rId29" w:history="1">
        <w:r w:rsidR="00312504" w:rsidRPr="000106D1">
          <w:rPr>
            <w:rStyle w:val="af3"/>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307837" w:rsidP="000106D1">
      <w:pPr>
        <w:pStyle w:val="References"/>
        <w:spacing w:after="0" w:line="240" w:lineRule="auto"/>
        <w:contextualSpacing/>
        <w:rPr>
          <w:sz w:val="22"/>
        </w:rPr>
      </w:pPr>
      <w:hyperlink r:id="rId30" w:history="1">
        <w:r w:rsidR="00312504" w:rsidRPr="000106D1">
          <w:rPr>
            <w:rStyle w:val="af3"/>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307837" w:rsidP="000106D1">
      <w:pPr>
        <w:pStyle w:val="References"/>
        <w:spacing w:after="0" w:line="240" w:lineRule="auto"/>
        <w:contextualSpacing/>
        <w:rPr>
          <w:sz w:val="22"/>
        </w:rPr>
      </w:pPr>
      <w:hyperlink r:id="rId31" w:history="1">
        <w:r w:rsidR="00312504" w:rsidRPr="000106D1">
          <w:rPr>
            <w:rStyle w:val="af3"/>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307837" w:rsidP="000106D1">
      <w:pPr>
        <w:pStyle w:val="References"/>
        <w:spacing w:after="0" w:line="240" w:lineRule="auto"/>
        <w:contextualSpacing/>
        <w:rPr>
          <w:sz w:val="22"/>
        </w:rPr>
      </w:pPr>
      <w:hyperlink r:id="rId32" w:history="1">
        <w:r w:rsidR="00312504" w:rsidRPr="000106D1">
          <w:rPr>
            <w:rStyle w:val="af3"/>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307837" w:rsidP="000106D1">
      <w:pPr>
        <w:pStyle w:val="References"/>
        <w:spacing w:after="0" w:line="240" w:lineRule="auto"/>
        <w:contextualSpacing/>
        <w:rPr>
          <w:sz w:val="22"/>
        </w:rPr>
      </w:pPr>
      <w:hyperlink r:id="rId33" w:history="1">
        <w:r w:rsidR="00312504" w:rsidRPr="000106D1">
          <w:rPr>
            <w:rStyle w:val="af3"/>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307837" w:rsidP="000106D1">
      <w:pPr>
        <w:pStyle w:val="References"/>
        <w:spacing w:after="0" w:line="240" w:lineRule="auto"/>
        <w:contextualSpacing/>
        <w:rPr>
          <w:sz w:val="22"/>
        </w:rPr>
      </w:pPr>
      <w:hyperlink r:id="rId34" w:history="1">
        <w:r w:rsidR="00312504" w:rsidRPr="000106D1">
          <w:rPr>
            <w:rStyle w:val="af3"/>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307837" w:rsidP="000106D1">
      <w:pPr>
        <w:pStyle w:val="References"/>
        <w:spacing w:after="0" w:line="240" w:lineRule="auto"/>
        <w:contextualSpacing/>
        <w:rPr>
          <w:sz w:val="22"/>
        </w:rPr>
      </w:pPr>
      <w:hyperlink r:id="rId35" w:history="1">
        <w:r w:rsidR="00312504" w:rsidRPr="000106D1">
          <w:rPr>
            <w:rStyle w:val="af3"/>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307837" w:rsidP="000106D1">
      <w:pPr>
        <w:pStyle w:val="References"/>
        <w:spacing w:after="0" w:line="240" w:lineRule="auto"/>
        <w:contextualSpacing/>
        <w:rPr>
          <w:sz w:val="22"/>
        </w:rPr>
      </w:pPr>
      <w:hyperlink r:id="rId36" w:history="1">
        <w:r w:rsidR="00312504" w:rsidRPr="000106D1">
          <w:rPr>
            <w:rStyle w:val="af3"/>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307837" w:rsidP="000106D1">
      <w:pPr>
        <w:pStyle w:val="References"/>
        <w:spacing w:after="0" w:line="240" w:lineRule="auto"/>
        <w:contextualSpacing/>
        <w:rPr>
          <w:sz w:val="22"/>
        </w:rPr>
      </w:pPr>
      <w:hyperlink r:id="rId37" w:history="1">
        <w:r w:rsidR="00312504" w:rsidRPr="000106D1">
          <w:rPr>
            <w:rStyle w:val="af3"/>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307837" w:rsidP="000106D1">
      <w:pPr>
        <w:pStyle w:val="References"/>
        <w:spacing w:after="0" w:line="240" w:lineRule="auto"/>
        <w:contextualSpacing/>
        <w:rPr>
          <w:sz w:val="22"/>
        </w:rPr>
      </w:pPr>
      <w:hyperlink r:id="rId38" w:history="1">
        <w:r w:rsidR="00312504" w:rsidRPr="000106D1">
          <w:rPr>
            <w:rStyle w:val="af3"/>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307837" w:rsidP="000106D1">
      <w:pPr>
        <w:pStyle w:val="References"/>
        <w:spacing w:after="0" w:line="240" w:lineRule="auto"/>
        <w:contextualSpacing/>
        <w:rPr>
          <w:sz w:val="22"/>
        </w:rPr>
      </w:pPr>
      <w:hyperlink r:id="rId39" w:history="1">
        <w:r w:rsidR="00312504" w:rsidRPr="000106D1">
          <w:rPr>
            <w:rStyle w:val="af3"/>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307837" w:rsidP="000106D1">
      <w:pPr>
        <w:pStyle w:val="References"/>
        <w:spacing w:after="0" w:line="240" w:lineRule="auto"/>
        <w:contextualSpacing/>
        <w:rPr>
          <w:sz w:val="22"/>
        </w:rPr>
      </w:pPr>
      <w:hyperlink r:id="rId40" w:history="1">
        <w:r w:rsidR="00312504" w:rsidRPr="000106D1">
          <w:rPr>
            <w:rStyle w:val="af3"/>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307837" w:rsidP="000106D1">
      <w:pPr>
        <w:pStyle w:val="References"/>
        <w:spacing w:after="0" w:line="240" w:lineRule="auto"/>
        <w:contextualSpacing/>
        <w:rPr>
          <w:sz w:val="22"/>
        </w:rPr>
      </w:pPr>
      <w:hyperlink r:id="rId41" w:history="1">
        <w:r w:rsidR="00312504" w:rsidRPr="000106D1">
          <w:rPr>
            <w:rStyle w:val="af3"/>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307837" w:rsidP="000106D1">
      <w:pPr>
        <w:pStyle w:val="References"/>
        <w:spacing w:after="0" w:line="240" w:lineRule="auto"/>
        <w:contextualSpacing/>
        <w:rPr>
          <w:sz w:val="22"/>
        </w:rPr>
      </w:pPr>
      <w:hyperlink r:id="rId42" w:history="1">
        <w:r w:rsidR="00312504" w:rsidRPr="000106D1">
          <w:rPr>
            <w:rStyle w:val="af3"/>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307837" w:rsidP="000106D1">
      <w:pPr>
        <w:pStyle w:val="References"/>
        <w:spacing w:after="0" w:line="240" w:lineRule="auto"/>
        <w:contextualSpacing/>
        <w:rPr>
          <w:sz w:val="22"/>
        </w:rPr>
      </w:pPr>
      <w:hyperlink r:id="rId43" w:history="1">
        <w:r w:rsidR="00312504" w:rsidRPr="000106D1">
          <w:rPr>
            <w:rStyle w:val="af3"/>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307837" w:rsidP="000106D1">
      <w:pPr>
        <w:pStyle w:val="References"/>
        <w:spacing w:after="0" w:line="240" w:lineRule="auto"/>
        <w:contextualSpacing/>
        <w:rPr>
          <w:sz w:val="22"/>
        </w:rPr>
      </w:pPr>
      <w:hyperlink r:id="rId44" w:history="1">
        <w:r w:rsidR="00312504" w:rsidRPr="000106D1">
          <w:rPr>
            <w:rStyle w:val="af3"/>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307837" w:rsidP="000106D1">
      <w:pPr>
        <w:pStyle w:val="References"/>
        <w:spacing w:after="0" w:line="240" w:lineRule="auto"/>
        <w:contextualSpacing/>
        <w:rPr>
          <w:sz w:val="22"/>
        </w:rPr>
      </w:pPr>
      <w:hyperlink r:id="rId45" w:history="1">
        <w:r w:rsidR="00312504" w:rsidRPr="000106D1">
          <w:rPr>
            <w:rStyle w:val="af3"/>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307837" w:rsidP="000106D1">
      <w:pPr>
        <w:pStyle w:val="References"/>
        <w:spacing w:after="0" w:line="240" w:lineRule="auto"/>
        <w:contextualSpacing/>
        <w:rPr>
          <w:sz w:val="22"/>
        </w:rPr>
      </w:pPr>
      <w:hyperlink r:id="rId46" w:history="1">
        <w:r w:rsidR="00312504" w:rsidRPr="000106D1">
          <w:rPr>
            <w:rStyle w:val="af3"/>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307837" w:rsidP="000106D1">
      <w:pPr>
        <w:pStyle w:val="References"/>
        <w:spacing w:after="0" w:line="240" w:lineRule="auto"/>
        <w:contextualSpacing/>
        <w:rPr>
          <w:sz w:val="22"/>
        </w:rPr>
      </w:pPr>
      <w:hyperlink r:id="rId47" w:history="1">
        <w:r w:rsidR="00312504" w:rsidRPr="000106D1">
          <w:rPr>
            <w:rStyle w:val="af3"/>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307837" w:rsidP="000106D1">
      <w:pPr>
        <w:pStyle w:val="References"/>
        <w:spacing w:after="0" w:line="240" w:lineRule="auto"/>
        <w:contextualSpacing/>
        <w:rPr>
          <w:sz w:val="22"/>
        </w:rPr>
      </w:pPr>
      <w:hyperlink r:id="rId48" w:history="1">
        <w:r w:rsidR="00312504" w:rsidRPr="000106D1">
          <w:rPr>
            <w:rStyle w:val="af3"/>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307837" w:rsidP="000106D1">
      <w:pPr>
        <w:pStyle w:val="References"/>
        <w:spacing w:after="0" w:line="240" w:lineRule="auto"/>
        <w:contextualSpacing/>
        <w:rPr>
          <w:sz w:val="22"/>
        </w:rPr>
      </w:pPr>
      <w:hyperlink r:id="rId49" w:history="1">
        <w:r w:rsidR="00312504" w:rsidRPr="000106D1">
          <w:rPr>
            <w:rStyle w:val="af3"/>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307837" w:rsidP="000106D1">
      <w:pPr>
        <w:pStyle w:val="References"/>
        <w:spacing w:after="0" w:line="240" w:lineRule="auto"/>
        <w:contextualSpacing/>
        <w:rPr>
          <w:sz w:val="22"/>
        </w:rPr>
      </w:pPr>
      <w:hyperlink r:id="rId50" w:history="1">
        <w:r w:rsidR="00312504" w:rsidRPr="000106D1">
          <w:rPr>
            <w:rStyle w:val="af3"/>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307837" w:rsidP="000106D1">
      <w:pPr>
        <w:pStyle w:val="References"/>
        <w:spacing w:after="0" w:line="240" w:lineRule="auto"/>
        <w:contextualSpacing/>
        <w:rPr>
          <w:sz w:val="22"/>
        </w:rPr>
      </w:pPr>
      <w:hyperlink r:id="rId51" w:history="1">
        <w:r w:rsidR="00312504" w:rsidRPr="000106D1">
          <w:rPr>
            <w:rStyle w:val="af3"/>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307837" w:rsidP="000106D1">
      <w:pPr>
        <w:pStyle w:val="References"/>
        <w:spacing w:after="0" w:line="240" w:lineRule="auto"/>
        <w:contextualSpacing/>
        <w:rPr>
          <w:sz w:val="22"/>
        </w:rPr>
      </w:pPr>
      <w:hyperlink r:id="rId52" w:history="1">
        <w:r w:rsidR="00312504" w:rsidRPr="000106D1">
          <w:rPr>
            <w:rStyle w:val="af3"/>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307837" w:rsidP="000106D1">
      <w:pPr>
        <w:pStyle w:val="References"/>
        <w:spacing w:after="0" w:line="240" w:lineRule="auto"/>
        <w:contextualSpacing/>
        <w:rPr>
          <w:sz w:val="22"/>
        </w:rPr>
      </w:pPr>
      <w:hyperlink r:id="rId53" w:history="1">
        <w:r w:rsidR="00312504" w:rsidRPr="000106D1">
          <w:rPr>
            <w:rStyle w:val="af3"/>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307837" w:rsidP="000106D1">
      <w:pPr>
        <w:pStyle w:val="References"/>
        <w:spacing w:after="0" w:line="240" w:lineRule="auto"/>
        <w:contextualSpacing/>
        <w:rPr>
          <w:sz w:val="22"/>
        </w:rPr>
      </w:pPr>
      <w:hyperlink r:id="rId54" w:history="1">
        <w:r w:rsidR="00312504" w:rsidRPr="000106D1">
          <w:rPr>
            <w:rStyle w:val="af3"/>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307837" w:rsidP="000106D1">
      <w:pPr>
        <w:pStyle w:val="References"/>
        <w:spacing w:after="0" w:line="240" w:lineRule="auto"/>
        <w:contextualSpacing/>
        <w:rPr>
          <w:sz w:val="22"/>
        </w:rPr>
      </w:pPr>
      <w:hyperlink r:id="rId55" w:history="1">
        <w:r w:rsidR="00312504" w:rsidRPr="000106D1">
          <w:rPr>
            <w:rStyle w:val="af3"/>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307837" w:rsidP="000106D1">
      <w:pPr>
        <w:pStyle w:val="References"/>
        <w:spacing w:after="0" w:line="240" w:lineRule="auto"/>
        <w:contextualSpacing/>
        <w:rPr>
          <w:sz w:val="22"/>
        </w:rPr>
      </w:pPr>
      <w:hyperlink r:id="rId56" w:history="1">
        <w:r w:rsidR="00312504" w:rsidRPr="000106D1">
          <w:rPr>
            <w:rStyle w:val="af3"/>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307837" w:rsidP="000106D1">
      <w:pPr>
        <w:pStyle w:val="References"/>
        <w:spacing w:after="0" w:line="240" w:lineRule="auto"/>
        <w:contextualSpacing/>
        <w:rPr>
          <w:sz w:val="22"/>
        </w:rPr>
      </w:pPr>
      <w:hyperlink r:id="rId57" w:history="1">
        <w:r w:rsidR="00312504" w:rsidRPr="000106D1">
          <w:rPr>
            <w:rStyle w:val="af3"/>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307837" w:rsidP="000106D1">
      <w:pPr>
        <w:pStyle w:val="References"/>
        <w:spacing w:after="0" w:line="240" w:lineRule="auto"/>
        <w:contextualSpacing/>
        <w:rPr>
          <w:sz w:val="22"/>
        </w:rPr>
      </w:pPr>
      <w:hyperlink r:id="rId58" w:history="1">
        <w:r w:rsidR="00312504" w:rsidRPr="000106D1">
          <w:rPr>
            <w:rStyle w:val="af3"/>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307837" w:rsidP="000106D1">
      <w:pPr>
        <w:pStyle w:val="References"/>
        <w:spacing w:after="0" w:line="240" w:lineRule="auto"/>
        <w:contextualSpacing/>
        <w:rPr>
          <w:sz w:val="22"/>
        </w:rPr>
      </w:pPr>
      <w:hyperlink r:id="rId59" w:history="1">
        <w:r w:rsidR="00312504" w:rsidRPr="000106D1">
          <w:rPr>
            <w:rStyle w:val="af3"/>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307837" w:rsidP="000106D1">
      <w:pPr>
        <w:pStyle w:val="References"/>
        <w:spacing w:after="0" w:line="240" w:lineRule="auto"/>
        <w:contextualSpacing/>
        <w:rPr>
          <w:sz w:val="22"/>
        </w:rPr>
      </w:pPr>
      <w:hyperlink r:id="rId60" w:history="1">
        <w:r w:rsidR="00312504" w:rsidRPr="000106D1">
          <w:rPr>
            <w:rStyle w:val="af3"/>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307837" w:rsidP="000106D1">
      <w:pPr>
        <w:pStyle w:val="References"/>
        <w:spacing w:after="0" w:line="240" w:lineRule="auto"/>
        <w:contextualSpacing/>
        <w:rPr>
          <w:sz w:val="22"/>
        </w:rPr>
      </w:pPr>
      <w:hyperlink r:id="rId61" w:history="1">
        <w:r w:rsidR="00312504" w:rsidRPr="000106D1">
          <w:rPr>
            <w:rStyle w:val="af3"/>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307837" w:rsidP="000106D1">
      <w:pPr>
        <w:pStyle w:val="References"/>
        <w:spacing w:after="0" w:line="240" w:lineRule="auto"/>
        <w:contextualSpacing/>
        <w:rPr>
          <w:sz w:val="22"/>
        </w:rPr>
      </w:pPr>
      <w:hyperlink r:id="rId62" w:history="1">
        <w:r w:rsidR="00312504" w:rsidRPr="000106D1">
          <w:rPr>
            <w:rStyle w:val="af3"/>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307837" w:rsidP="000106D1">
      <w:pPr>
        <w:pStyle w:val="References"/>
        <w:spacing w:after="0" w:line="240" w:lineRule="auto"/>
        <w:contextualSpacing/>
        <w:rPr>
          <w:sz w:val="22"/>
        </w:rPr>
      </w:pPr>
      <w:hyperlink r:id="rId63" w:history="1">
        <w:r w:rsidR="00312504" w:rsidRPr="000106D1">
          <w:rPr>
            <w:rStyle w:val="af3"/>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307837" w:rsidP="000106D1">
      <w:pPr>
        <w:pStyle w:val="References"/>
        <w:spacing w:after="0" w:line="240" w:lineRule="auto"/>
        <w:contextualSpacing/>
        <w:rPr>
          <w:sz w:val="22"/>
        </w:rPr>
      </w:pPr>
      <w:hyperlink r:id="rId64" w:history="1">
        <w:r w:rsidR="00312504" w:rsidRPr="000106D1">
          <w:rPr>
            <w:rStyle w:val="af3"/>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307837" w:rsidP="000106D1">
      <w:pPr>
        <w:pStyle w:val="References"/>
        <w:spacing w:after="0" w:line="240" w:lineRule="auto"/>
        <w:contextualSpacing/>
        <w:rPr>
          <w:sz w:val="22"/>
        </w:rPr>
      </w:pPr>
      <w:hyperlink r:id="rId65" w:history="1">
        <w:r w:rsidR="00312504" w:rsidRPr="000106D1">
          <w:rPr>
            <w:rStyle w:val="af3"/>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307837" w:rsidP="000106D1">
      <w:pPr>
        <w:pStyle w:val="References"/>
        <w:spacing w:after="0" w:line="240" w:lineRule="auto"/>
        <w:contextualSpacing/>
        <w:rPr>
          <w:sz w:val="22"/>
        </w:rPr>
      </w:pPr>
      <w:hyperlink r:id="rId66" w:history="1">
        <w:r w:rsidR="00312504" w:rsidRPr="000106D1">
          <w:rPr>
            <w:rStyle w:val="af3"/>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307837" w:rsidP="000106D1">
      <w:pPr>
        <w:pStyle w:val="References"/>
        <w:spacing w:after="0" w:line="240" w:lineRule="auto"/>
        <w:contextualSpacing/>
        <w:rPr>
          <w:sz w:val="22"/>
        </w:rPr>
      </w:pPr>
      <w:hyperlink r:id="rId67" w:history="1">
        <w:r w:rsidR="00312504" w:rsidRPr="000106D1">
          <w:rPr>
            <w:rStyle w:val="af3"/>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307837" w:rsidP="000106D1">
      <w:pPr>
        <w:pStyle w:val="References"/>
        <w:spacing w:after="0" w:line="240" w:lineRule="auto"/>
        <w:contextualSpacing/>
        <w:rPr>
          <w:sz w:val="22"/>
        </w:rPr>
      </w:pPr>
      <w:hyperlink r:id="rId68" w:history="1">
        <w:r w:rsidR="00312504" w:rsidRPr="000106D1">
          <w:rPr>
            <w:rStyle w:val="af3"/>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307837" w:rsidP="000106D1">
      <w:pPr>
        <w:pStyle w:val="References"/>
        <w:spacing w:after="0" w:line="240" w:lineRule="auto"/>
        <w:contextualSpacing/>
        <w:rPr>
          <w:sz w:val="22"/>
        </w:rPr>
      </w:pPr>
      <w:hyperlink r:id="rId69" w:history="1">
        <w:r w:rsidR="00312504" w:rsidRPr="000106D1">
          <w:rPr>
            <w:rStyle w:val="af3"/>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307837" w:rsidP="000106D1">
      <w:pPr>
        <w:pStyle w:val="References"/>
        <w:spacing w:after="0" w:line="240" w:lineRule="auto"/>
        <w:contextualSpacing/>
        <w:rPr>
          <w:sz w:val="22"/>
        </w:rPr>
      </w:pPr>
      <w:hyperlink r:id="rId70" w:history="1">
        <w:r w:rsidR="00312504" w:rsidRPr="000106D1">
          <w:rPr>
            <w:rStyle w:val="af3"/>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307837" w:rsidP="000106D1">
      <w:pPr>
        <w:pStyle w:val="References"/>
        <w:spacing w:after="0" w:line="240" w:lineRule="auto"/>
        <w:contextualSpacing/>
        <w:rPr>
          <w:sz w:val="22"/>
        </w:rPr>
      </w:pPr>
      <w:hyperlink r:id="rId71" w:history="1">
        <w:r w:rsidR="00312504" w:rsidRPr="000106D1">
          <w:rPr>
            <w:rStyle w:val="af3"/>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307837" w:rsidP="000106D1">
      <w:pPr>
        <w:pStyle w:val="References"/>
        <w:spacing w:after="0" w:line="240" w:lineRule="auto"/>
        <w:contextualSpacing/>
        <w:rPr>
          <w:sz w:val="22"/>
        </w:rPr>
      </w:pPr>
      <w:hyperlink r:id="rId72" w:history="1">
        <w:r w:rsidR="00312504" w:rsidRPr="000106D1">
          <w:rPr>
            <w:rStyle w:val="af3"/>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307837" w:rsidP="000106D1">
      <w:pPr>
        <w:pStyle w:val="References"/>
        <w:spacing w:after="0" w:line="240" w:lineRule="auto"/>
        <w:contextualSpacing/>
        <w:rPr>
          <w:sz w:val="22"/>
        </w:rPr>
      </w:pPr>
      <w:hyperlink r:id="rId73" w:history="1">
        <w:r w:rsidR="00312504" w:rsidRPr="000106D1">
          <w:rPr>
            <w:rStyle w:val="af3"/>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307837" w:rsidP="000106D1">
      <w:pPr>
        <w:pStyle w:val="References"/>
        <w:spacing w:after="0" w:line="240" w:lineRule="auto"/>
        <w:contextualSpacing/>
        <w:rPr>
          <w:sz w:val="22"/>
        </w:rPr>
      </w:pPr>
      <w:hyperlink r:id="rId74" w:history="1">
        <w:r w:rsidR="00312504" w:rsidRPr="000106D1">
          <w:rPr>
            <w:rStyle w:val="af3"/>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307837" w:rsidP="000106D1">
      <w:pPr>
        <w:pStyle w:val="References"/>
        <w:spacing w:after="0" w:line="240" w:lineRule="auto"/>
        <w:contextualSpacing/>
        <w:rPr>
          <w:sz w:val="22"/>
        </w:rPr>
      </w:pPr>
      <w:hyperlink r:id="rId75" w:history="1">
        <w:r w:rsidR="00312504" w:rsidRPr="000106D1">
          <w:rPr>
            <w:rStyle w:val="af3"/>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307837" w:rsidP="000106D1">
      <w:pPr>
        <w:pStyle w:val="References"/>
        <w:spacing w:after="0" w:line="240" w:lineRule="auto"/>
        <w:contextualSpacing/>
        <w:rPr>
          <w:sz w:val="22"/>
        </w:rPr>
      </w:pPr>
      <w:hyperlink r:id="rId76" w:history="1">
        <w:r w:rsidR="00312504" w:rsidRPr="000106D1">
          <w:rPr>
            <w:rStyle w:val="af3"/>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307837" w:rsidP="000106D1">
      <w:pPr>
        <w:pStyle w:val="References"/>
        <w:spacing w:after="0" w:line="240" w:lineRule="auto"/>
        <w:contextualSpacing/>
        <w:rPr>
          <w:sz w:val="22"/>
        </w:rPr>
      </w:pPr>
      <w:hyperlink r:id="rId77" w:history="1">
        <w:r w:rsidR="00312504" w:rsidRPr="000106D1">
          <w:rPr>
            <w:rStyle w:val="af3"/>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307837" w:rsidP="000106D1">
      <w:pPr>
        <w:pStyle w:val="References"/>
        <w:spacing w:after="0" w:line="240" w:lineRule="auto"/>
        <w:contextualSpacing/>
        <w:rPr>
          <w:sz w:val="22"/>
        </w:rPr>
      </w:pPr>
      <w:hyperlink r:id="rId78" w:history="1">
        <w:r w:rsidR="00312504" w:rsidRPr="000106D1">
          <w:rPr>
            <w:rStyle w:val="af3"/>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307837" w:rsidP="000106D1">
      <w:pPr>
        <w:pStyle w:val="References"/>
        <w:spacing w:after="0" w:line="240" w:lineRule="auto"/>
        <w:contextualSpacing/>
        <w:rPr>
          <w:sz w:val="22"/>
        </w:rPr>
      </w:pPr>
      <w:hyperlink r:id="rId79" w:history="1">
        <w:r w:rsidR="00312504" w:rsidRPr="000106D1">
          <w:rPr>
            <w:rStyle w:val="af3"/>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307837" w:rsidP="000106D1">
      <w:pPr>
        <w:pStyle w:val="References"/>
        <w:spacing w:after="0" w:line="240" w:lineRule="auto"/>
        <w:contextualSpacing/>
        <w:rPr>
          <w:sz w:val="22"/>
        </w:rPr>
      </w:pPr>
      <w:hyperlink r:id="rId80" w:history="1">
        <w:r w:rsidR="00312504" w:rsidRPr="000106D1">
          <w:rPr>
            <w:rStyle w:val="af3"/>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307837" w:rsidP="000106D1">
      <w:pPr>
        <w:pStyle w:val="References"/>
        <w:spacing w:after="0" w:line="240" w:lineRule="auto"/>
        <w:contextualSpacing/>
        <w:rPr>
          <w:sz w:val="22"/>
        </w:rPr>
      </w:pPr>
      <w:hyperlink r:id="rId81" w:history="1">
        <w:r w:rsidR="00312504" w:rsidRPr="000106D1">
          <w:rPr>
            <w:rStyle w:val="af3"/>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307837" w:rsidP="000106D1">
      <w:pPr>
        <w:pStyle w:val="References"/>
        <w:spacing w:after="0" w:line="240" w:lineRule="auto"/>
        <w:contextualSpacing/>
        <w:rPr>
          <w:sz w:val="22"/>
        </w:rPr>
      </w:pPr>
      <w:hyperlink r:id="rId82" w:history="1">
        <w:r w:rsidR="00312504" w:rsidRPr="000106D1">
          <w:rPr>
            <w:rStyle w:val="af3"/>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307837" w:rsidP="000106D1">
      <w:pPr>
        <w:pStyle w:val="References"/>
        <w:spacing w:after="0" w:line="240" w:lineRule="auto"/>
        <w:contextualSpacing/>
        <w:rPr>
          <w:sz w:val="22"/>
        </w:rPr>
      </w:pPr>
      <w:hyperlink r:id="rId83" w:history="1">
        <w:r w:rsidR="00312504" w:rsidRPr="000106D1">
          <w:rPr>
            <w:rStyle w:val="af3"/>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307837" w:rsidP="000106D1">
      <w:pPr>
        <w:pStyle w:val="References"/>
        <w:spacing w:after="0" w:line="240" w:lineRule="auto"/>
        <w:contextualSpacing/>
        <w:rPr>
          <w:sz w:val="22"/>
        </w:rPr>
      </w:pPr>
      <w:hyperlink r:id="rId84" w:history="1">
        <w:r w:rsidR="00312504" w:rsidRPr="000106D1">
          <w:rPr>
            <w:rStyle w:val="af3"/>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307837" w:rsidP="000106D1">
      <w:pPr>
        <w:pStyle w:val="References"/>
        <w:spacing w:after="0" w:line="240" w:lineRule="auto"/>
        <w:contextualSpacing/>
        <w:rPr>
          <w:sz w:val="22"/>
        </w:rPr>
      </w:pPr>
      <w:hyperlink r:id="rId85" w:history="1">
        <w:r w:rsidR="00312504" w:rsidRPr="000106D1">
          <w:rPr>
            <w:rStyle w:val="af3"/>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307837" w:rsidP="000106D1">
      <w:pPr>
        <w:pStyle w:val="References"/>
        <w:spacing w:after="0" w:line="240" w:lineRule="auto"/>
        <w:contextualSpacing/>
        <w:rPr>
          <w:sz w:val="22"/>
        </w:rPr>
      </w:pPr>
      <w:hyperlink r:id="rId86" w:history="1">
        <w:r w:rsidR="00312504" w:rsidRPr="000106D1">
          <w:rPr>
            <w:rStyle w:val="af3"/>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0E2C0" w14:textId="77777777" w:rsidR="00D45ABF" w:rsidRDefault="00D45ABF" w:rsidP="0009520C">
      <w:r>
        <w:separator/>
      </w:r>
    </w:p>
  </w:endnote>
  <w:endnote w:type="continuationSeparator" w:id="0">
    <w:p w14:paraId="10F9EBD1" w14:textId="77777777" w:rsidR="00D45ABF" w:rsidRDefault="00D45ABF"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9BA99" w14:textId="77777777" w:rsidR="00D45ABF" w:rsidRDefault="00D45ABF" w:rsidP="0009520C">
      <w:r>
        <w:separator/>
      </w:r>
    </w:p>
  </w:footnote>
  <w:footnote w:type="continuationSeparator" w:id="0">
    <w:p w14:paraId="4051F99A" w14:textId="77777777" w:rsidR="00D45ABF" w:rsidRDefault="00D45ABF"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07366B"/>
    <w:multiLevelType w:val="hybridMultilevel"/>
    <w:tmpl w:val="BA12D68A"/>
    <w:lvl w:ilvl="0" w:tplc="8190F2AA">
      <w:numFmt w:val="bullet"/>
      <w:lvlText w:val="•"/>
      <w:lvlJc w:val="left"/>
      <w:pPr>
        <w:ind w:left="845" w:hanging="420"/>
      </w:pPr>
      <w:rPr>
        <w:rFonts w:ascii="SimSun" w:eastAsia="SimSun" w:hAnsi="SimSun"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5E08B4"/>
    <w:multiLevelType w:val="multilevel"/>
    <w:tmpl w:val="145E08B4"/>
    <w:lvl w:ilvl="0">
      <w:numFmt w:val="bullet"/>
      <w:lvlText w:val="-"/>
      <w:lvlJc w:val="left"/>
      <w:pPr>
        <w:ind w:left="1300" w:hanging="420"/>
      </w:pPr>
      <w:rPr>
        <w:rFonts w:ascii="Times" w:eastAsia="바탕"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바탕"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A126DAA"/>
    <w:multiLevelType w:val="multilevel"/>
    <w:tmpl w:val="1A126DAA"/>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4E8639B7"/>
    <w:multiLevelType w:val="hybridMultilevel"/>
    <w:tmpl w:val="4192CCA0"/>
    <w:lvl w:ilvl="0" w:tplc="8190F2AA">
      <w:numFmt w:val="bullet"/>
      <w:lvlText w:val="•"/>
      <w:lvlJc w:val="left"/>
      <w:pPr>
        <w:ind w:left="844" w:hanging="420"/>
      </w:pPr>
      <w:rPr>
        <w:rFonts w:ascii="SimSun" w:eastAsia="SimSun" w:hAnsi="SimSun"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615D0B10"/>
    <w:multiLevelType w:val="multilevel"/>
    <w:tmpl w:val="615D0B10"/>
    <w:lvl w:ilvl="0">
      <w:numFmt w:val="bullet"/>
      <w:lvlText w:val="-"/>
      <w:lvlJc w:val="left"/>
      <w:pPr>
        <w:ind w:left="1300" w:hanging="420"/>
      </w:pPr>
      <w:rPr>
        <w:rFonts w:ascii="Times" w:eastAsia="바탕"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466672A"/>
    <w:multiLevelType w:val="hybridMultilevel"/>
    <w:tmpl w:val="739C955A"/>
    <w:lvl w:ilvl="0" w:tplc="ED8CC64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SimSun" w:eastAsia="SimSun" w:hAnsi="SimSun" w:cs="Times New Roman" w:hint="eastAsia"/>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BBA1678"/>
    <w:multiLevelType w:val="multilevel"/>
    <w:tmpl w:val="6BBA1678"/>
    <w:lvl w:ilvl="0">
      <w:numFmt w:val="bullet"/>
      <w:lvlText w:val="-"/>
      <w:lvlJc w:val="left"/>
      <w:pPr>
        <w:ind w:left="1080" w:hanging="420"/>
      </w:pPr>
      <w:rPr>
        <w:rFonts w:ascii="Times New Roman" w:eastAsia="맑은 고딕"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72AC0C60"/>
    <w:multiLevelType w:val="multilevel"/>
    <w:tmpl w:val="F02687F0"/>
    <w:lvl w:ilvl="0">
      <w:numFmt w:val="bullet"/>
      <w:lvlText w:val="•"/>
      <w:lvlJc w:val="left"/>
      <w:pPr>
        <w:ind w:left="568" w:hanging="284"/>
      </w:pPr>
      <w:rPr>
        <w:rFonts w:ascii="SimSun" w:eastAsia="SimSun" w:hAnsi="SimSun" w:cs="Times New Roman" w:hint="eastAsia"/>
        <w:color w:val="auto"/>
        <w:sz w:val="22"/>
      </w:rPr>
    </w:lvl>
    <w:lvl w:ilvl="1">
      <w:numFmt w:val="bullet"/>
      <w:lvlText w:val="•"/>
      <w:lvlJc w:val="left"/>
      <w:pPr>
        <w:ind w:left="1135" w:hanging="283"/>
      </w:pPr>
      <w:rPr>
        <w:rFonts w:ascii="SimSun" w:eastAsia="SimSun" w:hAnsi="SimSun" w:cs="Times New Roman" w:hint="eastAsia"/>
        <w:color w:val="auto"/>
        <w:sz w:val="22"/>
        <w:lang w:val="en-GB"/>
      </w:rPr>
    </w:lvl>
    <w:lvl w:ilvl="2">
      <w:numFmt w:val="bullet"/>
      <w:lvlText w:val="-"/>
      <w:lvlJc w:val="left"/>
      <w:pPr>
        <w:ind w:left="1419" w:hanging="284"/>
      </w:pPr>
      <w:rPr>
        <w:rFonts w:ascii="Times New Roman" w:eastAsia="맑은 고딕" w:hAnsi="Times New Roman" w:cs="Times New Roman" w:hint="default"/>
        <w:color w:val="auto"/>
        <w:sz w:val="22"/>
      </w:rPr>
    </w:lvl>
    <w:lvl w:ilvl="3">
      <w:numFmt w:val="bullet"/>
      <w:lvlText w:val="•"/>
      <w:lvlJc w:val="left"/>
      <w:pPr>
        <w:ind w:left="1702" w:hanging="283"/>
      </w:pPr>
      <w:rPr>
        <w:rFonts w:ascii="SimSun" w:eastAsia="SimSun" w:hAnsi="SimSun"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37"/>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B9E"/>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58"/>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DD"/>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ABF"/>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CD1"/>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Char"/>
    <w:qFormat/>
    <w:pPr>
      <w:spacing w:after="60" w:line="259" w:lineRule="auto"/>
      <w:ind w:left="284" w:hanging="284"/>
      <w:jc w:val="center"/>
    </w:pPr>
    <w:rPr>
      <w:rFonts w:eastAsia="SimSun"/>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SimSun"/>
      <w:sz w:val="22"/>
      <w:szCs w:val="22"/>
      <w:lang w:eastAsia="en-US"/>
    </w:rPr>
  </w:style>
  <w:style w:type="paragraph" w:styleId="a6">
    <w:name w:val="annotation text"/>
    <w:basedOn w:val="a"/>
    <w:link w:val="Char0"/>
    <w:unhideWhenUsed/>
    <w:qFormat/>
    <w:pPr>
      <w:spacing w:after="60" w:line="259" w:lineRule="auto"/>
      <w:ind w:left="284" w:hanging="284"/>
    </w:pPr>
    <w:rPr>
      <w:rFonts w:eastAsia="SimSun"/>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7">
    <w:name w:val="Body Text"/>
    <w:basedOn w:val="a"/>
    <w:link w:val="Char1"/>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SimSun"/>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SimSun"/>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SimSun"/>
      <w:sz w:val="20"/>
      <w:szCs w:val="20"/>
      <w:lang w:eastAsia="en-US"/>
    </w:rPr>
  </w:style>
  <w:style w:type="paragraph" w:styleId="21">
    <w:name w:val="Body Text 2"/>
    <w:basedOn w:val="a"/>
    <w:qFormat/>
    <w:pPr>
      <w:spacing w:line="259" w:lineRule="auto"/>
      <w:ind w:left="284" w:hanging="284"/>
    </w:pPr>
    <w:rPr>
      <w:rFonts w:eastAsia="SimSun"/>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Char6">
    <w:name w:val="강한 인용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7">
    <w:name w:val="List Paragraph"/>
    <w:basedOn w:val="a"/>
    <w:link w:val="Char7"/>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Char7">
    <w:name w:val="목록 단락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Char8">
    <w:name w:val="인용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맑은 고딕" w:cs="바탕"/>
      <w:sz w:val="20"/>
      <w:szCs w:val="20"/>
      <w:lang w:val="en-GB" w:eastAsia="en-US"/>
    </w:rPr>
  </w:style>
  <w:style w:type="character" w:customStyle="1" w:styleId="0MaintextChar">
    <w:name w:val="0 Main text Char"/>
    <w:link w:val="0Maintext"/>
    <w:qFormat/>
    <w:rPr>
      <w:rFonts w:eastAsia="맑은 고딕" w:cs="바탕"/>
      <w:lang w:val="en-GB"/>
    </w:rPr>
  </w:style>
  <w:style w:type="paragraph" w:customStyle="1" w:styleId="12">
    <w:name w:val="스타일1"/>
    <w:basedOn w:val="a"/>
    <w:link w:val="1Char"/>
    <w:qFormat/>
    <w:pPr>
      <w:spacing w:before="120" w:after="180" w:line="259" w:lineRule="auto"/>
      <w:ind w:leftChars="106" w:left="212" w:hanging="284"/>
      <w:jc w:val="both"/>
    </w:pPr>
    <w:rPr>
      <w:rFonts w:eastAsia="맑은 고딕"/>
      <w:b/>
      <w:i/>
      <w:kern w:val="2"/>
      <w:sz w:val="22"/>
      <w:szCs w:val="22"/>
      <w:lang w:eastAsia="ko-KR"/>
    </w:rPr>
  </w:style>
  <w:style w:type="character" w:customStyle="1" w:styleId="1Char">
    <w:name w:val="스타일1 Char"/>
    <w:basedOn w:val="a0"/>
    <w:link w:val="12"/>
    <w:qFormat/>
    <w:rPr>
      <w:rFonts w:eastAsia="맑은 고딕"/>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바탕" w:hAnsi="Times"/>
      <w:sz w:val="20"/>
      <w:lang w:val="en-GB" w:eastAsia="en-US"/>
    </w:rPr>
  </w:style>
  <w:style w:type="paragraph" w:customStyle="1" w:styleId="bullet4">
    <w:name w:val="bullet4"/>
    <w:basedOn w:val="a"/>
    <w:qFormat/>
    <w:pPr>
      <w:numPr>
        <w:ilvl w:val="3"/>
        <w:numId w:val="6"/>
      </w:numPr>
      <w:spacing w:line="259" w:lineRule="auto"/>
    </w:pPr>
    <w:rPr>
      <w:rFonts w:ascii="Times" w:eastAsia="바탕"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제목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제목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제목 6 Char"/>
    <w:basedOn w:val="a0"/>
    <w:link w:val="6"/>
    <w:qFormat/>
    <w:rPr>
      <w:b/>
      <w:bCs/>
      <w:sz w:val="22"/>
      <w:szCs w:val="22"/>
      <w:lang w:eastAsia="en-US"/>
    </w:rPr>
  </w:style>
  <w:style w:type="table" w:customStyle="1" w:styleId="TableGrid2">
    <w:name w:val="Table Grid2"/>
    <w:basedOn w:val="a1"/>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표 구분선3"/>
    <w:basedOn w:val="a1"/>
    <w:uiPriority w:val="59"/>
    <w:qFormat/>
    <w:rPr>
      <w:rFonts w:ascii="맑은 고딕" w:eastAsia="맑은 고딕" w:hAnsi="맑은 고딕"/>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1"/>
    <w:uiPriority w:val="39"/>
    <w:qFormat/>
    <w:rPr>
      <w:rFonts w:eastAsia="바탕"/>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제목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바탕"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a1"/>
    <w:qFormat/>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AD7540EE-E88A-4515-802A-E222B74C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5487</Words>
  <Characters>31281</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LEE Young Dae/5G Wireless Communication Standard Task(youngdae.lee@lge.com)</cp:lastModifiedBy>
  <cp:revision>2</cp:revision>
  <cp:lastPrinted>2007-06-18T22:08:00Z</cp:lastPrinted>
  <dcterms:created xsi:type="dcterms:W3CDTF">2022-10-11T06:06:00Z</dcterms:created>
  <dcterms:modified xsi:type="dcterms:W3CDTF">2022-10-11T06:06:00Z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