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 xml:space="preserve">    </w:t>
      </w:r>
      <w:r>
        <w:rPr>
          <w:rFonts w:ascii="Arial" w:hAnsi="Arial" w:cs="Arial"/>
          <w:b/>
          <w:bCs/>
          <w:lang w:val="de-DE"/>
        </w:rPr>
        <w:tab/>
      </w:r>
      <w:r>
        <w:rPr>
          <w:rFonts w:ascii="Arial" w:hAnsi="Arial" w:cs="Arial"/>
          <w:b/>
          <w:bCs/>
          <w:lang w:val="de-DE"/>
        </w:rPr>
        <w:t>R1-220xxxx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e-meeting, 10</w:t>
      </w:r>
      <w:r>
        <w:rPr>
          <w:rFonts w:ascii="Arial" w:hAnsi="Arial" w:eastAsia="MS Mincho" w:cs="Arial"/>
          <w:b/>
          <w:bCs/>
          <w:vertAlign w:val="superscript"/>
          <w:lang w:eastAsia="ja-JP"/>
        </w:rPr>
        <w:t>th</w:t>
      </w:r>
      <w:r>
        <w:rPr>
          <w:rFonts w:ascii="Arial" w:hAnsi="Arial" w:eastAsia="MS Mincho" w:cs="Arial"/>
          <w:b/>
          <w:bCs/>
          <w:lang w:eastAsia="ja-JP"/>
        </w:rPr>
        <w:t xml:space="preserve"> – 19</w:t>
      </w:r>
      <w:r>
        <w:rPr>
          <w:rFonts w:ascii="Arial" w:hAnsi="Arial" w:eastAsia="MS Mincho" w:cs="Arial"/>
          <w:b/>
          <w:bCs/>
          <w:vertAlign w:val="superscript"/>
          <w:lang w:eastAsia="ja-JP"/>
        </w:rPr>
        <w:t>th</w:t>
      </w:r>
      <w:r>
        <w:rPr>
          <w:rFonts w:ascii="Arial" w:hAnsi="Arial" w:eastAsia="MS Mincho" w:cs="Arial"/>
          <w:b/>
          <w:bCs/>
          <w:lang w:eastAsia="ja-JP"/>
        </w:rPr>
        <w:t xml:space="preserve"> October, 2022</w:t>
      </w:r>
    </w:p>
    <w:p>
      <w:pPr>
        <w:tabs>
          <w:tab w:val="center" w:pos="4536"/>
          <w:tab w:val="right" w:pos="9072"/>
        </w:tabs>
        <w:spacing w:line="276" w:lineRule="auto"/>
        <w:rPr>
          <w:rFonts w:ascii="Arial" w:hAnsi="Arial" w:cs="Arial"/>
          <w:b/>
          <w:bCs/>
        </w:rPr>
      </w:pPr>
    </w:p>
    <w:p>
      <w:pPr>
        <w:tabs>
          <w:tab w:val="left" w:pos="1985"/>
        </w:tabs>
        <w:spacing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(Nokia)</w:t>
      </w:r>
    </w:p>
    <w:p>
      <w:pPr>
        <w:tabs>
          <w:tab w:val="left" w:pos="1985"/>
        </w:tabs>
        <w:spacing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 : Maintenance of Rel-17 mTRP UL</w:t>
      </w:r>
    </w:p>
    <w:p>
      <w:pPr>
        <w:pBdr>
          <w:bottom w:val="single" w:color="auto" w:sz="6" w:space="1"/>
        </w:pBdr>
        <w:tabs>
          <w:tab w:val="left" w:pos="1985"/>
        </w:tabs>
        <w:spacing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pStyle w:val="100"/>
        <w:spacing w:after="0" w:afterAutospacing="0"/>
        <w:ind w:firstLine="0"/>
        <w:rPr>
          <w:bCs/>
          <w:lang w:val="en-US"/>
        </w:rPr>
      </w:pPr>
    </w:p>
    <w:p>
      <w:pPr>
        <w:pStyle w:val="100"/>
        <w:spacing w:after="0" w:afterAutospacing="0"/>
        <w:ind w:firstLine="0"/>
        <w:rPr>
          <w:bCs/>
          <w:lang w:val="en-US"/>
        </w:rPr>
      </w:pPr>
      <w:r>
        <w:rPr>
          <w:bCs/>
          <w:lang w:val="en-US"/>
        </w:rPr>
        <w:t xml:space="preserve">This summary is to discuss the issue #1, which was identified as a remaining maintenance issue on Rel-17 UL mTRP. </w:t>
      </w:r>
    </w:p>
    <w:p>
      <w:pPr>
        <w:wordWrap w:val="0"/>
        <w:rPr>
          <w:sz w:val="20"/>
          <w:szCs w:val="20"/>
          <w:highlight w:val="cyan"/>
        </w:rPr>
      </w:pPr>
    </w:p>
    <w:p>
      <w:pPr>
        <w:wordWrap w:val="0"/>
        <w:rPr>
          <w:rFonts w:eastAsiaTheme="minorHAnsi"/>
          <w:sz w:val="20"/>
          <w:szCs w:val="20"/>
          <w:highlight w:val="cyan"/>
          <w:lang w:eastAsia="en-US"/>
        </w:rPr>
      </w:pPr>
      <w:r>
        <w:rPr>
          <w:sz w:val="20"/>
          <w:szCs w:val="20"/>
          <w:highlight w:val="cyan"/>
        </w:rPr>
        <w:t>[110bis-e-R17-MIMO-07] Email discussion on remaining maintenance issues on UL mTRP by October 13 – Keeth (Nokia)</w:t>
      </w:r>
    </w:p>
    <w:p>
      <w:pPr>
        <w:pStyle w:val="85"/>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 Type 1 configured grant PUSCH to TS38.214 (R1-2208752 Lenovo)</w:t>
      </w:r>
    </w:p>
    <w:p>
      <w:pPr>
        <w:wordWrap w:val="0"/>
        <w:rPr>
          <w:sz w:val="20"/>
          <w:szCs w:val="20"/>
          <w:highlight w:val="cyan"/>
        </w:rPr>
      </w:pPr>
    </w:p>
    <w:p>
      <w:pPr>
        <w:wordWrap w:val="0"/>
        <w:rPr>
          <w:sz w:val="20"/>
          <w:szCs w:val="20"/>
        </w:rPr>
      </w:pPr>
      <w:r>
        <w:rPr>
          <w:sz w:val="20"/>
          <w:szCs w:val="20"/>
        </w:rPr>
        <w:t xml:space="preserve">The draft CR is submitted by Lenovo in the following contribution and can be used to start the discussion.  </w:t>
      </w:r>
    </w:p>
    <w:p>
      <w:pPr>
        <w:wordWrap w:val="0"/>
        <w:rPr>
          <w:sz w:val="20"/>
          <w:szCs w:val="20"/>
        </w:rPr>
      </w:pPr>
    </w:p>
    <w:tbl>
      <w:tblPr>
        <w:tblStyle w:val="60"/>
        <w:tblpPr w:leftFromText="180" w:rightFromText="180" w:vertAnchor="text" w:horzAnchor="margin" w:tblpY="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704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16" w:type="dxa"/>
          </w:tcPr>
          <w:p>
            <w:pPr>
              <w:snapToGrid w:val="0"/>
              <w:spacing w:line="288" w:lineRule="auto"/>
              <w:jc w:val="both"/>
              <w:rPr>
                <w:b/>
                <w:bCs/>
                <w:sz w:val="20"/>
                <w:szCs w:val="20"/>
                <w:u w:val="single"/>
              </w:rPr>
            </w:pPr>
            <w:r>
              <w:fldChar w:fldCharType="begin"/>
            </w:r>
            <w:r>
              <w:instrText xml:space="preserve"> HYPERLINK "https://www.3gpp.org/ftp/TSG_RAN/WG1_RL1/TSGR1_110b-e/Docs/R1-2208752.zip" </w:instrText>
            </w:r>
            <w:r>
              <w:fldChar w:fldCharType="separate"/>
            </w:r>
            <w:r>
              <w:rPr>
                <w:rStyle w:val="81"/>
                <w:b/>
                <w:bCs/>
                <w:color w:val="auto"/>
                <w:sz w:val="20"/>
                <w:szCs w:val="20"/>
              </w:rPr>
              <w:t>R1-2208752</w:t>
            </w:r>
            <w:r>
              <w:rPr>
                <w:rStyle w:val="81"/>
                <w:b/>
                <w:bCs/>
                <w:color w:val="auto"/>
                <w:sz w:val="20"/>
                <w:szCs w:val="20"/>
              </w:rPr>
              <w:fldChar w:fldCharType="end"/>
            </w:r>
          </w:p>
        </w:tc>
        <w:tc>
          <w:tcPr>
            <w:tcW w:w="7049" w:type="dxa"/>
          </w:tcPr>
          <w:p>
            <w:pPr>
              <w:snapToGrid w:val="0"/>
              <w:spacing w:line="288" w:lineRule="auto"/>
              <w:jc w:val="both"/>
              <w:rPr>
                <w:sz w:val="20"/>
                <w:szCs w:val="20"/>
              </w:rPr>
            </w:pPr>
            <w:r>
              <w:rPr>
                <w:sz w:val="20"/>
                <w:szCs w:val="20"/>
              </w:rPr>
              <w:t>Draft CR on M-TRP Type 1 configured grant PUSCH to TS38.214</w:t>
            </w:r>
          </w:p>
        </w:tc>
        <w:tc>
          <w:tcPr>
            <w:tcW w:w="1524" w:type="dxa"/>
          </w:tcPr>
          <w:p>
            <w:pPr>
              <w:snapToGrid w:val="0"/>
              <w:spacing w:line="288" w:lineRule="auto"/>
              <w:jc w:val="both"/>
              <w:rPr>
                <w:sz w:val="20"/>
                <w:szCs w:val="20"/>
              </w:rPr>
            </w:pPr>
            <w:r>
              <w:rPr>
                <w:sz w:val="20"/>
                <w:szCs w:val="20"/>
              </w:rPr>
              <w:t>Lenovo</w:t>
            </w:r>
          </w:p>
        </w:tc>
      </w:tr>
    </w:tbl>
    <w:p>
      <w:pPr>
        <w:wordWrap w:val="0"/>
        <w:rPr>
          <w:sz w:val="20"/>
          <w:szCs w:val="20"/>
        </w:rPr>
      </w:pPr>
    </w:p>
    <w:p>
      <w:pPr>
        <w:pStyle w:val="3"/>
      </w:pPr>
      <w:r>
        <w:t>Issue #1</w:t>
      </w:r>
    </w:p>
    <w:p>
      <w:pPr>
        <w:wordWrap w:val="0"/>
        <w:jc w:val="both"/>
        <w:rPr>
          <w:sz w:val="20"/>
          <w:szCs w:val="20"/>
        </w:rPr>
      </w:pPr>
      <w:r>
        <w:rPr>
          <w:sz w:val="20"/>
          <w:szCs w:val="20"/>
        </w:rPr>
        <w:t xml:space="preserve">Based on the preparation phase discussion, the majority seems ok with the highlighted issue in </w:t>
      </w:r>
      <w:r>
        <w:fldChar w:fldCharType="begin"/>
      </w:r>
      <w:r>
        <w:instrText xml:space="preserve"> HYPERLINK "https://www.3gpp.org/ftp/TSG_RAN/WG1_RL1/TSGR1_110b-e/Docs/R1-2208752.zip" </w:instrText>
      </w:r>
      <w:r>
        <w:fldChar w:fldCharType="separate"/>
      </w:r>
      <w:r>
        <w:rPr>
          <w:rStyle w:val="81"/>
          <w:b/>
          <w:bCs/>
          <w:color w:val="auto"/>
          <w:sz w:val="20"/>
          <w:szCs w:val="20"/>
        </w:rPr>
        <w:t>R1-2208752</w:t>
      </w:r>
      <w:r>
        <w:rPr>
          <w:rStyle w:val="81"/>
          <w:b/>
          <w:bCs/>
          <w:color w:val="auto"/>
          <w:sz w:val="20"/>
          <w:szCs w:val="20"/>
        </w:rPr>
        <w:fldChar w:fldCharType="end"/>
      </w:r>
      <w:r>
        <w:rPr>
          <w:sz w:val="20"/>
          <w:szCs w:val="20"/>
        </w:rPr>
        <w:t>. However, some comments are on the exact changes and how to capture this in TS 38.213. Based on some comments in the preparation phase, it seems that mentioning “</w:t>
      </w:r>
      <w:r>
        <w:rPr>
          <w:rFonts w:eastAsia="宋体"/>
          <w:i/>
          <w:sz w:val="20"/>
          <w:szCs w:val="20"/>
          <w:lang w:val="en-GB" w:eastAsia="en-US"/>
        </w:rPr>
        <w:t xml:space="preserve">p0-PUSCH-Alpha2” </w:t>
      </w:r>
      <w:r>
        <w:rPr>
          <w:rFonts w:eastAsia="宋体"/>
          <w:iCs/>
          <w:sz w:val="20"/>
          <w:szCs w:val="20"/>
          <w:lang w:val="en-GB" w:eastAsia="en-US"/>
        </w:rPr>
        <w:t xml:space="preserve">as the condition seems sufficient to determine the </w:t>
      </w:r>
      <w:r>
        <w:rPr>
          <w:rFonts w:eastAsia="等线"/>
          <w:sz w:val="20"/>
          <w:szCs w:val="20"/>
          <w:lang w:eastAsia="zh-CN"/>
        </w:rPr>
        <w:t xml:space="preserve">mTRP CG-PUSCH type 1 transmission. </w:t>
      </w:r>
    </w:p>
    <w:p>
      <w:pPr>
        <w:wordWrap w:val="0"/>
        <w:rPr>
          <w:sz w:val="20"/>
          <w:szCs w:val="20"/>
        </w:rPr>
      </w:pPr>
    </w:p>
    <w:p>
      <w:pPr>
        <w:snapToGrid w:val="0"/>
        <w:jc w:val="both"/>
        <w:rPr>
          <w:rFonts w:eastAsia="等线"/>
          <w:b/>
          <w:bCs/>
          <w:sz w:val="22"/>
          <w:szCs w:val="22"/>
          <w:lang w:eastAsia="zh-CN"/>
        </w:rPr>
      </w:pPr>
      <w:r>
        <w:rPr>
          <w:b/>
          <w:bCs/>
          <w:sz w:val="22"/>
          <w:szCs w:val="22"/>
        </w:rPr>
        <w:t xml:space="preserve">Proposal 1 : </w:t>
      </w:r>
      <w:r>
        <w:rPr>
          <w:rFonts w:eastAsia="等线"/>
          <w:sz w:val="22"/>
          <w:szCs w:val="22"/>
          <w:lang w:eastAsia="zh-CN"/>
        </w:rPr>
        <w:t xml:space="preserve">The following changes in </w:t>
      </w:r>
      <w:r>
        <w:rPr>
          <w:rFonts w:eastAsia="等线"/>
          <w:color w:val="FF0000"/>
          <w:sz w:val="22"/>
          <w:szCs w:val="22"/>
          <w:lang w:eastAsia="zh-CN"/>
        </w:rPr>
        <w:t>red</w:t>
      </w:r>
      <w:r>
        <w:rPr>
          <w:rFonts w:eastAsia="等线"/>
          <w:sz w:val="22"/>
          <w:szCs w:val="22"/>
          <w:lang w:eastAsia="zh-CN"/>
        </w:rPr>
        <w:t xml:space="preserve"> are endorsed for TS38.213, Section 6.1.2.3.</w:t>
      </w:r>
      <w:r>
        <w:rPr>
          <w:rFonts w:eastAsia="等线"/>
          <w:b/>
          <w:bCs/>
          <w:sz w:val="22"/>
          <w:szCs w:val="22"/>
          <w:lang w:eastAsia="zh-CN"/>
        </w:rPr>
        <w:t xml:space="preserve">  </w:t>
      </w:r>
    </w:p>
    <w:p>
      <w:pPr>
        <w:wordWrap w:val="0"/>
        <w:rPr>
          <w:sz w:val="20"/>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6" w:type="dxa"/>
          </w:tcPr>
          <w:p>
            <w:pPr>
              <w:pStyle w:val="5"/>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t>6.1.2.3</w:t>
            </w:r>
            <w:r>
              <w:rPr>
                <w:b/>
                <w:bCs/>
                <w:sz w:val="20"/>
                <w:szCs w:val="20"/>
              </w:rPr>
              <w:tab/>
            </w:r>
            <w:r>
              <w:rPr>
                <w:b/>
                <w:bCs/>
                <w:sz w:val="20"/>
                <w:szCs w:val="20"/>
              </w:rPr>
              <w:t>Resource allocation for uplink transmission with configured grant</w:t>
            </w:r>
            <w:bookmarkEnd w:id="2"/>
            <w:bookmarkEnd w:id="3"/>
            <w:bookmarkEnd w:id="4"/>
            <w:bookmarkEnd w:id="5"/>
            <w:bookmarkEnd w:id="6"/>
            <w:bookmarkEnd w:id="7"/>
            <w:bookmarkEnd w:id="8"/>
            <w:bookmarkEnd w:id="9"/>
            <w:bookmarkEnd w:id="10"/>
          </w:p>
          <w:p>
            <w:pPr>
              <w:autoSpaceDE w:val="0"/>
              <w:autoSpaceDN w:val="0"/>
              <w:adjustRightInd w:val="0"/>
              <w:snapToGrid w:val="0"/>
              <w:spacing w:after="120" w:afterLines="50"/>
              <w:jc w:val="center"/>
              <w:rPr>
                <w:rFonts w:eastAsia="宋体"/>
                <w:color w:val="5B9BD5" w:themeColor="accent1"/>
                <w:sz w:val="20"/>
                <w:szCs w:val="20"/>
                <w14:textFill>
                  <w14:solidFill>
                    <w14:schemeClr w14:val="accent1"/>
                  </w14:solidFill>
                </w14:textFill>
              </w:rPr>
            </w:pPr>
            <w:r>
              <w:rPr>
                <w:rFonts w:eastAsia="宋体"/>
                <w:color w:val="5B9BD5" w:themeColor="accent1"/>
                <w:sz w:val="20"/>
                <w:szCs w:val="20"/>
                <w14:textFill>
                  <w14:solidFill>
                    <w14:schemeClr w14:val="accent1"/>
                  </w14:solidFill>
                </w14:textFill>
              </w:rPr>
              <w:t xml:space="preserve">&lt; </w:t>
            </w:r>
            <w:r>
              <w:rPr>
                <w:rFonts w:eastAsia="宋体"/>
                <w:color w:val="5B9BD5" w:themeColor="accent1"/>
                <w:sz w:val="20"/>
                <w:szCs w:val="20"/>
                <w:lang w:eastAsia="en-US"/>
                <w14:textFill>
                  <w14:solidFill>
                    <w14:schemeClr w14:val="accent1"/>
                  </w14:solidFill>
                </w14:textFill>
              </w:rPr>
              <w:t>Unchanged parts are omitted</w:t>
            </w:r>
            <w:r>
              <w:rPr>
                <w:rFonts w:eastAsia="宋体"/>
                <w:color w:val="5B9BD5" w:themeColor="accent1"/>
                <w:sz w:val="20"/>
                <w:szCs w:val="20"/>
                <w14:textFill>
                  <w14:solidFill>
                    <w14:schemeClr w14:val="accent1"/>
                  </w14:solidFill>
                </w14:textFill>
              </w:rPr>
              <w:t xml:space="preserve"> &gt;</w:t>
            </w:r>
          </w:p>
          <w:p>
            <w:pPr>
              <w:spacing w:after="180"/>
              <w:rPr>
                <w:rFonts w:eastAsia="宋体"/>
                <w:sz w:val="20"/>
                <w:szCs w:val="20"/>
              </w:rPr>
            </w:pPr>
            <w:r>
              <w:rPr>
                <w:rFonts w:eastAsia="宋体"/>
                <w:sz w:val="20"/>
                <w:szCs w:val="20"/>
              </w:rPr>
              <w:t xml:space="preserve">For PUSCH transmissions with a Type 2 configured grant, when two SRS resource sets are configured in srs-ResourceSetToAddModList or srs-ResourceSetToAddModListDCI-0-2, the SRS resource set association to (nominal) repetitions follows MappingPattern in ConfiguredGrantConfig as defined in Clause 6.1.2.1 for PUSCH scheduled by DCI format 0_1 and 0_2. For PUSCH transmissions with a Type 1 configured grant, when two SRS resource sets with usage set to 'codebook' or 'noncodebook' are configured in srs-ResourceSetToAddModList or srs-ResourceSetToAddModListDCI-0-2, if </w:t>
            </w:r>
            <w:r>
              <w:rPr>
                <w:rFonts w:eastAsia="宋体"/>
                <w:strike/>
                <w:color w:val="FF0000"/>
                <w:sz w:val="20"/>
                <w:szCs w:val="20"/>
              </w:rPr>
              <w:t>two SRS resource indicators and two precoding information</w:t>
            </w:r>
            <w:r>
              <w:rPr>
                <w:rFonts w:eastAsia="宋体"/>
                <w:color w:val="FF0000"/>
                <w:sz w:val="20"/>
                <w:szCs w:val="20"/>
              </w:rPr>
              <w:t xml:space="preserve"> </w:t>
            </w:r>
            <w:r>
              <w:rPr>
                <w:rFonts w:eastAsia="宋体"/>
                <w:strike/>
                <w:color w:val="FF0000"/>
                <w:sz w:val="20"/>
                <w:szCs w:val="20"/>
              </w:rPr>
              <w:t>are</w:t>
            </w:r>
            <w:r>
              <w:rPr>
                <w:rFonts w:eastAsia="宋体"/>
                <w:color w:val="FF0000"/>
                <w:sz w:val="20"/>
                <w:szCs w:val="20"/>
              </w:rPr>
              <w:t xml:space="preserve"> </w:t>
            </w:r>
            <w:r>
              <w:rPr>
                <w:rFonts w:eastAsia="宋体"/>
                <w:i/>
                <w:color w:val="FF0000"/>
                <w:sz w:val="20"/>
                <w:szCs w:val="20"/>
                <w:lang w:val="en-GB" w:eastAsia="en-US"/>
              </w:rPr>
              <w:t>p0-PUSCH-Alpha2</w:t>
            </w:r>
            <w:r>
              <w:rPr>
                <w:rFonts w:eastAsia="宋体"/>
                <w:sz w:val="20"/>
                <w:szCs w:val="20"/>
              </w:rPr>
              <w:t xml:space="preserve"> </w:t>
            </w:r>
            <w:r>
              <w:rPr>
                <w:rFonts w:eastAsia="宋体"/>
                <w:color w:val="FF0000"/>
                <w:sz w:val="20"/>
                <w:szCs w:val="20"/>
              </w:rPr>
              <w:t xml:space="preserve">is </w:t>
            </w:r>
            <w:r>
              <w:rPr>
                <w:rFonts w:eastAsia="宋体"/>
                <w:sz w:val="20"/>
                <w:szCs w:val="20"/>
              </w:rPr>
              <w:t xml:space="preserve">provided, the SRS resource set association to (nominal) repetitions is determined as follows. When K = 2, the first and second SRS resource sets are applied to the first and second (nominal) repetitions, respectively.  </w:t>
            </w:r>
          </w:p>
          <w:p>
            <w:pPr>
              <w:spacing w:after="180"/>
              <w:ind w:left="568" w:hanging="284"/>
              <w:rPr>
                <w:rFonts w:eastAsia="宋体"/>
                <w:sz w:val="20"/>
                <w:szCs w:val="20"/>
              </w:rPr>
            </w:pPr>
            <w:r>
              <w:rPr>
                <w:rFonts w:eastAsia="宋体"/>
                <w:sz w:val="20"/>
                <w:szCs w:val="20"/>
              </w:rPr>
              <w:t>-</w:t>
            </w:r>
            <w:r>
              <w:rPr>
                <w:rFonts w:eastAsia="宋体"/>
                <w:sz w:val="20"/>
                <w:szCs w:val="20"/>
              </w:rPr>
              <w:tab/>
            </w:r>
            <w:r>
              <w:rPr>
                <w:rFonts w:eastAsia="宋体"/>
                <w:sz w:val="20"/>
                <w:szCs w:val="20"/>
              </w:rPr>
              <w:t xml:space="preserve">When K &gt; 2 and cyclicMapping in ConfiguredGrantConfig is enabled, the first and second SRS resource sets are applied to the first and second (nominal) repetitions, respectively, and the same SRS resource set mapping pattern continues to the remaining (nominal) repetitions. </w:t>
            </w:r>
          </w:p>
          <w:p>
            <w:pPr>
              <w:spacing w:after="180"/>
              <w:ind w:left="568" w:hanging="284"/>
              <w:rPr>
                <w:rFonts w:eastAsia="宋体"/>
                <w:sz w:val="20"/>
                <w:szCs w:val="20"/>
              </w:rPr>
            </w:pPr>
            <w:r>
              <w:rPr>
                <w:rFonts w:eastAsia="宋体"/>
                <w:sz w:val="20"/>
                <w:szCs w:val="20"/>
              </w:rPr>
              <w:t>-</w:t>
            </w:r>
            <w:r>
              <w:rPr>
                <w:rFonts w:eastAsia="宋体"/>
                <w:sz w:val="20"/>
                <w:szCs w:val="20"/>
              </w:rPr>
              <w:tab/>
            </w:r>
            <w:r>
              <w:rPr>
                <w:rFonts w:eastAsia="宋体"/>
                <w:sz w:val="20"/>
                <w:szCs w:val="20"/>
              </w:rPr>
              <w:t>When K &gt; 2 and sequentialMapping in ConfiguredGrantConfig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pPr>
              <w:autoSpaceDE w:val="0"/>
              <w:autoSpaceDN w:val="0"/>
              <w:adjustRightInd w:val="0"/>
              <w:snapToGrid w:val="0"/>
              <w:spacing w:after="120"/>
              <w:jc w:val="center"/>
              <w:rPr>
                <w:rFonts w:eastAsia="宋体"/>
                <w:color w:val="FF0000"/>
                <w:sz w:val="20"/>
                <w:szCs w:val="20"/>
              </w:rPr>
            </w:pPr>
            <w:r>
              <w:rPr>
                <w:rFonts w:eastAsia="宋体"/>
                <w:color w:val="5B9BD5" w:themeColor="accent1"/>
                <w:sz w:val="20"/>
                <w:szCs w:val="20"/>
                <w14:textFill>
                  <w14:solidFill>
                    <w14:schemeClr w14:val="accent1"/>
                  </w14:solidFill>
                </w14:textFill>
              </w:rPr>
              <w:t xml:space="preserve">&lt; </w:t>
            </w:r>
            <w:r>
              <w:rPr>
                <w:rFonts w:eastAsia="宋体"/>
                <w:color w:val="5B9BD5" w:themeColor="accent1"/>
                <w:sz w:val="20"/>
                <w:szCs w:val="20"/>
                <w:lang w:eastAsia="en-US"/>
                <w14:textFill>
                  <w14:solidFill>
                    <w14:schemeClr w14:val="accent1"/>
                  </w14:solidFill>
                </w14:textFill>
              </w:rPr>
              <w:t>Unchanged parts are omitted</w:t>
            </w:r>
            <w:r>
              <w:rPr>
                <w:rFonts w:eastAsia="宋体"/>
                <w:color w:val="5B9BD5" w:themeColor="accent1"/>
                <w:sz w:val="20"/>
                <w:szCs w:val="20"/>
                <w14:textFill>
                  <w14:solidFill>
                    <w14:schemeClr w14:val="accent1"/>
                  </w14:solidFill>
                </w14:textFill>
              </w:rPr>
              <w:t xml:space="preserve"> &gt;</w:t>
            </w:r>
          </w:p>
        </w:tc>
      </w:tr>
    </w:tbl>
    <w:p>
      <w:pPr>
        <w:wordWrap w:val="0"/>
        <w:rPr>
          <w:sz w:val="20"/>
          <w:szCs w:val="20"/>
        </w:rPr>
      </w:pPr>
    </w:p>
    <w:p>
      <w:pPr>
        <w:wordWrap w:val="0"/>
        <w:rPr>
          <w:sz w:val="20"/>
          <w:szCs w:val="20"/>
        </w:rPr>
      </w:pPr>
      <w:r>
        <w:rPr>
          <w:sz w:val="20"/>
          <w:szCs w:val="20"/>
        </w:rPr>
        <w:t xml:space="preserve">Please provide your comments/suggestions below. </w:t>
      </w:r>
    </w:p>
    <w:tbl>
      <w:tblPr>
        <w:tblStyle w:val="60"/>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7"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b/>
                <w:sz w:val="20"/>
                <w:szCs w:val="20"/>
              </w:rPr>
            </w:pPr>
            <w:r>
              <w:rPr>
                <w:b/>
                <w:sz w:val="20"/>
                <w:szCs w:val="20"/>
              </w:rPr>
              <w:t>Company</w:t>
            </w:r>
          </w:p>
        </w:tc>
        <w:tc>
          <w:tcPr>
            <w:tcW w:w="8083"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b/>
                <w:sz w:val="20"/>
                <w:szCs w:val="20"/>
              </w:rPr>
            </w:pPr>
            <w:r>
              <w:rPr>
                <w:b/>
                <w:sz w:val="20"/>
                <w:szCs w:val="20"/>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7"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hint="eastAsia" w:eastAsia="等线"/>
                <w:sz w:val="20"/>
                <w:szCs w:val="20"/>
                <w:lang w:eastAsia="zh-CN"/>
              </w:rPr>
            </w:pPr>
            <w:r>
              <w:rPr>
                <w:rFonts w:hint="eastAsia" w:eastAsia="等线"/>
                <w:sz w:val="20"/>
                <w:szCs w:val="20"/>
                <w:lang w:eastAsia="zh-CN"/>
              </w:rPr>
              <w:t>CATT</w:t>
            </w:r>
          </w:p>
        </w:tc>
        <w:tc>
          <w:tcPr>
            <w:tcW w:w="8083"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hint="eastAsia" w:eastAsia="等线"/>
                <w:sz w:val="20"/>
                <w:szCs w:val="20"/>
                <w:lang w:eastAsia="zh-CN"/>
              </w:rPr>
            </w:pPr>
            <w:r>
              <w:rPr>
                <w:rFonts w:hint="eastAsia" w:eastAsia="等线"/>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7"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hint="default" w:eastAsia="宋体"/>
                <w:b w:val="0"/>
                <w:bCs/>
                <w:sz w:val="20"/>
                <w:szCs w:val="20"/>
                <w:lang w:val="en-US" w:eastAsia="zh-CN"/>
              </w:rPr>
            </w:pPr>
            <w:r>
              <w:rPr>
                <w:rFonts w:hint="eastAsia" w:eastAsia="宋体"/>
                <w:b w:val="0"/>
                <w:bCs/>
                <w:sz w:val="20"/>
                <w:szCs w:val="20"/>
                <w:lang w:val="en-US" w:eastAsia="zh-CN"/>
              </w:rPr>
              <w:t>ZTE</w:t>
            </w:r>
          </w:p>
        </w:tc>
        <w:tc>
          <w:tcPr>
            <w:tcW w:w="8083"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hint="default" w:eastAsia="宋体"/>
                <w:b w:val="0"/>
                <w:bCs/>
                <w:sz w:val="20"/>
                <w:szCs w:val="20"/>
                <w:lang w:val="en-US" w:eastAsia="zh-CN"/>
              </w:rPr>
            </w:pPr>
            <w:r>
              <w:rPr>
                <w:rFonts w:hint="eastAsia" w:eastAsia="宋体"/>
                <w:b w:val="0"/>
                <w:bCs/>
                <w:sz w:val="20"/>
                <w:szCs w:val="20"/>
                <w:lang w:val="en-US" w:eastAsia="zh-CN"/>
              </w:rPr>
              <w:t>Support</w:t>
            </w:r>
            <w:bookmarkStart w:id="11" w:name="_GoBack"/>
            <w:bookmarkEnd w:id="11"/>
          </w:p>
        </w:tc>
      </w:tr>
    </w:tbl>
    <w:p>
      <w:pPr>
        <w:wordWrap w:val="0"/>
        <w:rPr>
          <w:color w:val="1F497D"/>
          <w:sz w:val="20"/>
          <w:szCs w:val="20"/>
        </w:rPr>
      </w:pPr>
    </w:p>
    <w:p>
      <w:pPr>
        <w:wordWrap w:val="0"/>
        <w:rPr>
          <w:color w:val="1F497D"/>
          <w:sz w:val="20"/>
          <w:szCs w:val="20"/>
        </w:rPr>
      </w:pPr>
    </w:p>
    <w:p>
      <w:pPr>
        <w:wordWrap w:val="0"/>
        <w:rPr>
          <w:color w:val="1F497D"/>
          <w:sz w:val="20"/>
          <w:szCs w:val="20"/>
        </w:rPr>
      </w:pPr>
    </w:p>
    <w:p>
      <w:pPr>
        <w:pStyle w:val="3"/>
      </w:pPr>
      <w:r>
        <w:t xml:space="preserve">For easy reference : Company inputs in the preparation phase </w:t>
      </w:r>
    </w:p>
    <w:p>
      <w:pPr>
        <w:wordWrap w:val="0"/>
        <w:rPr>
          <w:color w:val="1F497D"/>
          <w:sz w:val="20"/>
          <w:szCs w:val="20"/>
        </w:rPr>
      </w:pPr>
    </w:p>
    <w:tbl>
      <w:tblPr>
        <w:tblStyle w:val="60"/>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b/>
                <w:sz w:val="20"/>
                <w:szCs w:val="20"/>
              </w:rPr>
            </w:pPr>
            <w:r>
              <w:rPr>
                <w:b/>
                <w:sz w:val="20"/>
                <w:szCs w:val="20"/>
              </w:rPr>
              <w:t>Company</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b/>
                <w:sz w:val="20"/>
                <w:szCs w:val="20"/>
              </w:rPr>
            </w:pPr>
            <w:r>
              <w:rPr>
                <w:b/>
                <w:sz w:val="20"/>
                <w:szCs w:val="20"/>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Mod</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宋体"/>
                <w:sz w:val="20"/>
                <w:szCs w:val="20"/>
                <w:lang w:val="en-GB" w:eastAsia="zh-CN"/>
              </w:rPr>
            </w:pPr>
            <w:r>
              <w:rPr>
                <w:rFonts w:eastAsia="宋体"/>
                <w:b/>
                <w:bCs/>
                <w:sz w:val="20"/>
                <w:szCs w:val="20"/>
                <w:lang w:val="en-GB" w:eastAsia="zh-CN"/>
              </w:rPr>
              <w:t>Summary</w:t>
            </w:r>
            <w:r>
              <w:rPr>
                <w:rFonts w:eastAsia="宋体"/>
                <w:sz w:val="20"/>
                <w:szCs w:val="20"/>
                <w:lang w:val="en-GB" w:eastAsia="zh-CN"/>
              </w:rPr>
              <w:t xml:space="preserve"> : Based on R1-2208752, the following is suggested to make sure that mTRP Type 1 CG PUSCH is determined based on </w:t>
            </w:r>
            <w:r>
              <w:rPr>
                <w:rFonts w:eastAsia="宋体"/>
                <w:i/>
                <w:iCs/>
                <w:sz w:val="20"/>
                <w:szCs w:val="20"/>
                <w:lang w:val="en-GB" w:eastAsia="zh-CN"/>
              </w:rPr>
              <w:t>p0-PUSCH-Alpha2</w:t>
            </w:r>
            <w:r>
              <w:rPr>
                <w:rFonts w:eastAsia="宋体"/>
                <w:sz w:val="20"/>
                <w:szCs w:val="20"/>
                <w:lang w:val="en-GB" w:eastAsia="zh-CN"/>
              </w:rPr>
              <w:t xml:space="preserve"> and </w:t>
            </w:r>
            <w:r>
              <w:rPr>
                <w:rFonts w:eastAsia="宋体"/>
                <w:i/>
                <w:iCs/>
                <w:sz w:val="20"/>
                <w:szCs w:val="20"/>
                <w:lang w:val="en-GB" w:eastAsia="zh-CN"/>
              </w:rPr>
              <w:t>powerControlLoopToUse2.</w:t>
            </w:r>
          </w:p>
          <w:p>
            <w:pPr>
              <w:snapToGrid w:val="0"/>
              <w:jc w:val="both"/>
              <w:rPr>
                <w:rFonts w:eastAsia="宋体"/>
                <w:sz w:val="20"/>
                <w:szCs w:val="20"/>
                <w:lang w:val="en-GB" w:eastAsia="zh-CN"/>
              </w:rPr>
            </w:pPr>
          </w:p>
          <w:p>
            <w:pPr>
              <w:snapToGrid w:val="0"/>
              <w:jc w:val="both"/>
              <w:rPr>
                <w:rFonts w:eastAsia="宋体"/>
                <w:sz w:val="20"/>
                <w:szCs w:val="20"/>
              </w:rPr>
            </w:pPr>
            <w:r>
              <w:rPr>
                <w:rFonts w:eastAsia="宋体"/>
                <w:sz w:val="20"/>
                <w:szCs w:val="20"/>
              </w:rPr>
              <w:t xml:space="preserve">For PUSCH transmissions with a Type 1 configured grant, when two SRS resource sets with usage set to 'codebook' or 'noncodebook' are configured in srs-ResourceSetToAddModList or srs-ResourceSetToAddModListDCI-0-2, 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 the SRS resource set association to (nominal) repetitions is determined as follows. When K = 2, the first and second SRS resource sets are applied to the first and second (nominal) repetitions, respectively.  </w:t>
            </w:r>
          </w:p>
          <w:p>
            <w:pPr>
              <w:snapToGrid w:val="0"/>
              <w:jc w:val="both"/>
              <w:rPr>
                <w:rFonts w:eastAsia="宋体"/>
                <w:sz w:val="20"/>
                <w:szCs w:val="20"/>
                <w:lang w:val="en-GB" w:eastAsia="zh-CN"/>
              </w:rPr>
            </w:pP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Mod’s Assessment: Need some more discussion on this. Propose to discuss in RAN1 #110-bis-e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QC</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Agree to discuss the issue given that two SRS resource indicators or two precoding information may not be always configured for mTRP CG-PUSCH (due to SRS resource set including a single SRS resource, or due to 1-port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Lenovo</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Support to discuss it consider that there are not always two SRS resource indicators and two precoding information for a M-TRP CG Type 1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ZTE</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This is valid issue, support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OPPO</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We are fine to discuss the issue. Based on our understanding, we don’t think “if two…” is the condition for “when two SRS…”. They are two independent conditions for PUCCH repetition. Hence, we propose to delete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w:t>
            </w:r>
            <w:r>
              <w:rPr>
                <w:rFonts w:eastAsia="等线"/>
                <w:sz w:val="20"/>
                <w:szCs w:val="20"/>
                <w:lang w:eastAsia="zh-CN"/>
              </w:rPr>
              <w:t xml:space="preserve">”, since the first condition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Samsung</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sz w:val="20"/>
                <w:szCs w:val="20"/>
              </w:rPr>
            </w:pPr>
            <w:r>
              <w:rPr>
                <w:sz w:val="20"/>
                <w:szCs w:val="20"/>
              </w:rPr>
              <w:t xml:space="preserve">We can discuss this issue because issue is valid. However, TP is not acceptable because RRC parameter ‘powerControlLoopToUse2’ cannot be configured if twoPUSCH-PC-AdjustmentStates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vivo</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OK to discuss and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Google</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Support discussing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Intel</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Agree this is a valid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Apple </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sz w:val="20"/>
                <w:szCs w:val="20"/>
              </w:rPr>
            </w:pPr>
            <w:r>
              <w:rPr>
                <w:sz w:val="20"/>
                <w:szCs w:val="20"/>
              </w:rPr>
              <w:t>LG</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Lenovo</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pPr>
              <w:snapToGrid w:val="0"/>
              <w:jc w:val="both"/>
              <w:rPr>
                <w:rFonts w:eastAsia="等线"/>
                <w:sz w:val="20"/>
                <w:szCs w:val="20"/>
                <w:lang w:eastAsia="zh-CN"/>
              </w:rPr>
            </w:pPr>
            <w:r>
              <w:rPr>
                <w:rFonts w:eastAsia="等线"/>
                <w:sz w:val="20"/>
                <w:szCs w:val="20"/>
                <w:lang w:eastAsia="zh-CN"/>
              </w:rPr>
              <w:t xml:space="preserve">@Samsung, we didn’t find there is such restrict that the </w:t>
            </w:r>
            <w:r>
              <w:rPr>
                <w:sz w:val="20"/>
                <w:szCs w:val="20"/>
              </w:rPr>
              <w:t>RRC parameter ‘powerControlLoopToUse2’ cannot be configured if twoPUSCH-PC-AdjustmentStates is not configured according to TS38.213 and TS38.331. Would you tell us where the restrict can be found? However, we are fine to update as</w:t>
            </w:r>
            <w:r>
              <w:rPr>
                <w:rFonts w:eastAsia="等线"/>
                <w:sz w:val="20"/>
                <w:szCs w:val="20"/>
                <w:lang w:eastAsia="zh-CN"/>
              </w:rPr>
              <w:t xml:space="preserv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 xml:space="preserve">p0-PUSCH-Alpha2 </w:t>
            </w:r>
            <w:r>
              <w:rPr>
                <w:rFonts w:eastAsia="宋体"/>
                <w:iCs/>
                <w:color w:val="FF0000"/>
                <w:sz w:val="20"/>
                <w:szCs w:val="20"/>
                <w:lang w:val="en-GB" w:eastAsia="en-US"/>
              </w:rPr>
              <w:t>is</w:t>
            </w:r>
            <w:r>
              <w:rPr>
                <w:rFonts w:eastAsia="宋体"/>
                <w:iCs/>
                <w:sz w:val="20"/>
                <w:szCs w:val="20"/>
                <w:lang w:val="en-GB"/>
              </w:rPr>
              <w:t xml:space="preserve"> </w:t>
            </w:r>
            <w:r>
              <w:rPr>
                <w:rFonts w:eastAsia="宋体"/>
                <w:strike/>
                <w:sz w:val="20"/>
                <w:szCs w:val="20"/>
              </w:rPr>
              <w:t>are</w:t>
            </w:r>
            <w:r>
              <w:rPr>
                <w:rFonts w:eastAsia="宋体"/>
                <w:sz w:val="20"/>
                <w:szCs w:val="20"/>
              </w:rPr>
              <w:t xml:space="preserve"> provided,</w:t>
            </w:r>
            <w:r>
              <w:rPr>
                <w:rFonts w:eastAsia="等线"/>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NTT Docomo</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Support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Moderator </w:t>
            </w:r>
          </w:p>
        </w:tc>
        <w:tc>
          <w:tcPr>
            <w:tcW w:w="8080" w:type="dxa"/>
            <w:tcBorders>
              <w:top w:val="single" w:color="auto" w:sz="4" w:space="0"/>
              <w:left w:val="single" w:color="auto" w:sz="4" w:space="0"/>
              <w:bottom w:val="single" w:color="auto" w:sz="4" w:space="0"/>
              <w:right w:val="single" w:color="auto" w:sz="4" w:space="0"/>
            </w:tcBorders>
            <w:shd w:val="clear" w:color="auto" w:fill="auto"/>
          </w:tcPr>
          <w:p>
            <w:pPr>
              <w:snapToGrid w:val="0"/>
              <w:jc w:val="both"/>
              <w:rPr>
                <w:rFonts w:eastAsia="等线"/>
                <w:sz w:val="20"/>
                <w:szCs w:val="20"/>
                <w:lang w:eastAsia="zh-CN"/>
              </w:rPr>
            </w:pPr>
            <w:r>
              <w:rPr>
                <w:rFonts w:eastAsia="等线"/>
                <w:sz w:val="20"/>
                <w:szCs w:val="20"/>
                <w:lang w:eastAsia="zh-CN"/>
              </w:rPr>
              <w:t xml:space="preserve">Majority support to discuss this issue.  </w:t>
            </w:r>
          </w:p>
        </w:tc>
      </w:tr>
    </w:tbl>
    <w:p>
      <w:pPr>
        <w:snapToGrid w:val="0"/>
        <w:spacing w:after="60" w:line="288" w:lineRule="auto"/>
        <w:jc w:val="both"/>
        <w:rPr>
          <w:b/>
          <w:bCs/>
          <w:u w:val="single"/>
        </w:rPr>
      </w:pP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G Times (WN)">
    <w:altName w:val="宋体"/>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2FF0397F"/>
    <w:multiLevelType w:val="multilevel"/>
    <w:tmpl w:val="2FF039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7">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8">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1B5"/>
    <w:rsid w:val="002B2D18"/>
    <w:rsid w:val="002B2DEC"/>
    <w:rsid w:val="002B32AB"/>
    <w:rsid w:val="002B3305"/>
    <w:rsid w:val="002B3597"/>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批注框文本 Char"/>
    <w:basedOn w:val="74"/>
    <w:link w:val="40"/>
    <w:qFormat/>
    <w:uiPriority w:val="99"/>
    <w:rPr>
      <w:rFonts w:ascii="Segoe UI" w:hAnsi="Segoe UI" w:cs="Segoe UI"/>
      <w:sz w:val="18"/>
      <w:szCs w:val="18"/>
    </w:rPr>
  </w:style>
  <w:style w:type="paragraph" w:styleId="85">
    <w:name w:val="List Paragraph"/>
    <w:basedOn w:val="1"/>
    <w:link w:val="94"/>
    <w:qFormat/>
    <w:uiPriority w:val="99"/>
    <w:pPr>
      <w:spacing w:after="160" w:line="259" w:lineRule="auto"/>
      <w:ind w:left="720"/>
      <w:contextualSpacing/>
    </w:pPr>
    <w:rPr>
      <w:rFonts w:eastAsia="宋体" w:asciiTheme="minorHAnsi" w:hAnsiTheme="minorHAnsi" w:cstheme="minorBidi"/>
      <w:sz w:val="22"/>
      <w:szCs w:val="22"/>
      <w:lang w:eastAsia="en-US"/>
    </w:rPr>
  </w:style>
  <w:style w:type="character" w:customStyle="1" w:styleId="86">
    <w:name w:val="批注文字 Char"/>
    <w:basedOn w:val="74"/>
    <w:link w:val="30"/>
    <w:qFormat/>
    <w:uiPriority w:val="0"/>
    <w:rPr>
      <w:sz w:val="20"/>
      <w:szCs w:val="20"/>
    </w:rPr>
  </w:style>
  <w:style w:type="character" w:customStyle="1" w:styleId="87">
    <w:name w:val="批注主题 Char"/>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Char"/>
    <w:basedOn w:val="74"/>
    <w:link w:val="42"/>
    <w:qFormat/>
    <w:uiPriority w:val="0"/>
    <w:rPr>
      <w:sz w:val="18"/>
      <w:szCs w:val="18"/>
    </w:rPr>
  </w:style>
  <w:style w:type="character" w:customStyle="1" w:styleId="93">
    <w:name w:val="页脚 Char"/>
    <w:basedOn w:val="74"/>
    <w:link w:val="41"/>
    <w:qFormat/>
    <w:uiPriority w:val="99"/>
    <w:rPr>
      <w:sz w:val="18"/>
      <w:szCs w:val="18"/>
    </w:rPr>
  </w:style>
  <w:style w:type="character" w:customStyle="1" w:styleId="94">
    <w:name w:val="列出段落 Char"/>
    <w:basedOn w:val="74"/>
    <w:link w:val="85"/>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修订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Char"/>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Char"/>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Char"/>
    <w:basedOn w:val="74"/>
    <w:link w:val="3"/>
    <w:qFormat/>
    <w:uiPriority w:val="0"/>
    <w:rPr>
      <w:rFonts w:ascii="Times New Roman" w:hAnsi="Times New Roman" w:eastAsia="Malgun Gothic" w:cs="Times New Roman"/>
      <w:sz w:val="32"/>
      <w:szCs w:val="32"/>
      <w:lang w:eastAsia="zh-CN"/>
    </w:rPr>
  </w:style>
  <w:style w:type="character" w:customStyle="1" w:styleId="112">
    <w:name w:val="标题 3 Char"/>
    <w:basedOn w:val="74"/>
    <w:link w:val="4"/>
    <w:qFormat/>
    <w:uiPriority w:val="10"/>
    <w:rPr>
      <w:rFonts w:ascii="Times New Roman" w:hAnsi="Times New Roman" w:eastAsia="Malgun Gothic" w:cs="Times New Roman"/>
      <w:sz w:val="28"/>
      <w:szCs w:val="28"/>
      <w:lang w:eastAsia="zh-CN"/>
    </w:rPr>
  </w:style>
  <w:style w:type="character" w:customStyle="1" w:styleId="113">
    <w:name w:val="标题 4 Char"/>
    <w:basedOn w:val="74"/>
    <w:link w:val="5"/>
    <w:qFormat/>
    <w:uiPriority w:val="0"/>
    <w:rPr>
      <w:rFonts w:ascii="Times New Roman" w:hAnsi="Times New Roman" w:eastAsia="Malgun Gothic" w:cs="Times New Roman"/>
      <w:sz w:val="24"/>
      <w:szCs w:val="24"/>
      <w:lang w:eastAsia="zh-CN"/>
    </w:rPr>
  </w:style>
  <w:style w:type="character" w:customStyle="1" w:styleId="114">
    <w:name w:val="标题 6 Char"/>
    <w:basedOn w:val="74"/>
    <w:link w:val="7"/>
    <w:qFormat/>
    <w:uiPriority w:val="9"/>
    <w:rPr>
      <w:rFonts w:ascii="Times New Roman" w:hAnsi="Times New Roman" w:eastAsia="Times New Roman" w:cs="Arial"/>
      <w:sz w:val="24"/>
      <w:szCs w:val="24"/>
      <w:lang w:eastAsia="zh-CN"/>
    </w:rPr>
  </w:style>
  <w:style w:type="character" w:customStyle="1" w:styleId="115">
    <w:name w:val="标题 7 Char"/>
    <w:basedOn w:val="74"/>
    <w:link w:val="8"/>
    <w:qFormat/>
    <w:uiPriority w:val="9"/>
    <w:rPr>
      <w:rFonts w:ascii="Times New Roman" w:hAnsi="Times New Roman" w:eastAsia="Times New Roman" w:cs="Arial"/>
      <w:sz w:val="24"/>
      <w:szCs w:val="24"/>
      <w:lang w:eastAsia="zh-CN"/>
    </w:rPr>
  </w:style>
  <w:style w:type="character" w:customStyle="1" w:styleId="116">
    <w:name w:val="标题 8 Char"/>
    <w:basedOn w:val="74"/>
    <w:link w:val="9"/>
    <w:qFormat/>
    <w:uiPriority w:val="9"/>
    <w:rPr>
      <w:rFonts w:ascii="Times New Roman" w:hAnsi="Times New Roman" w:eastAsia="Times New Roman" w:cs="Arial"/>
      <w:sz w:val="24"/>
      <w:szCs w:val="24"/>
      <w:lang w:eastAsia="zh-CN"/>
    </w:rPr>
  </w:style>
  <w:style w:type="character" w:customStyle="1" w:styleId="117">
    <w:name w:val="标题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Char"/>
    <w:link w:val="22"/>
    <w:qFormat/>
    <w:uiPriority w:val="0"/>
    <w:rPr>
      <w:rFonts w:ascii="Times New Roman" w:hAnsi="Times New Roman" w:cs="Times New Roman" w:eastAsiaTheme="minorEastAsia"/>
      <w:sz w:val="24"/>
      <w:szCs w:val="24"/>
      <w:lang w:eastAsia="ko-KR"/>
    </w:rPr>
  </w:style>
  <w:style w:type="character" w:customStyle="1" w:styleId="170">
    <w:name w:val="列表 2 Char"/>
    <w:link w:val="12"/>
    <w:qFormat/>
    <w:uiPriority w:val="0"/>
    <w:rPr>
      <w:rFonts w:ascii="Times New Roman" w:hAnsi="Times New Roman" w:cs="Times New Roman" w:eastAsiaTheme="minorEastAsia"/>
      <w:sz w:val="24"/>
      <w:szCs w:val="24"/>
      <w:lang w:eastAsia="ko-KR"/>
    </w:rPr>
  </w:style>
  <w:style w:type="character" w:customStyle="1" w:styleId="171">
    <w:name w:val="列表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书籍标题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标题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窗体顶端 字符"/>
    <w:basedOn w:val="74"/>
    <w:link w:val="281"/>
    <w:qFormat/>
    <w:uiPriority w:val="99"/>
    <w:rPr>
      <w:rFonts w:ascii="Arial" w:hAnsi="Arial"/>
      <w:vanish/>
      <w:sz w:val="16"/>
      <w:szCs w:val="16"/>
      <w:lang w:eastAsia="zh-CN"/>
    </w:rPr>
  </w:style>
  <w:style w:type="paragraph" w:customStyle="1" w:styleId="281">
    <w:name w:val="z-窗体顶端1"/>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窗体底端 字符"/>
    <w:basedOn w:val="74"/>
    <w:link w:val="285"/>
    <w:qFormat/>
    <w:uiPriority w:val="99"/>
    <w:rPr>
      <w:rFonts w:ascii="Arial" w:hAnsi="Arial"/>
      <w:vanish/>
      <w:sz w:val="16"/>
      <w:szCs w:val="16"/>
      <w:lang w:eastAsia="zh-CN"/>
    </w:rPr>
  </w:style>
  <w:style w:type="paragraph" w:customStyle="1" w:styleId="285">
    <w:name w:val="z-窗体底端1"/>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Char1"/>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Char"/>
    <w:basedOn w:val="74"/>
    <w:link w:val="33"/>
    <w:qFormat/>
    <w:uiPriority w:val="99"/>
    <w:rPr>
      <w:rFonts w:ascii="Times New Roman" w:hAnsi="Times New Roman" w:cs="Times New Roman"/>
      <w:sz w:val="20"/>
      <w:szCs w:val="20"/>
      <w:lang w:val="en-GB"/>
    </w:rPr>
  </w:style>
  <w:style w:type="character" w:customStyle="1" w:styleId="319">
    <w:name w:val="正文首行缩进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不明显强调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boldbullet1"/>
    <w:basedOn w:val="242"/>
    <w:qFormat/>
    <w:uiPriority w:val="0"/>
    <w:pPr>
      <w:numPr>
        <w:ilvl w:val="0"/>
        <w:numId w:val="0"/>
      </w:numPr>
      <w:tabs>
        <w:tab w:val="left" w:pos="720"/>
      </w:tabs>
      <w:spacing w:after="120"/>
      <w:ind w:left="720" w:hanging="360"/>
      <w:jc w:val="both"/>
    </w:pPr>
    <w:rPr>
      <w:rFonts w:ascii="Times New Roman" w:hAnsi="Times New Roman"/>
      <w:b/>
      <w:kern w:val="0"/>
      <w:sz w:val="20"/>
      <w:lang w:val="en-US"/>
    </w:rPr>
  </w:style>
  <w:style w:type="paragraph" w:customStyle="1" w:styleId="619">
    <w:name w:val="font6"/>
    <w:basedOn w:val="1"/>
    <w:qFormat/>
    <w:uiPriority w:val="0"/>
    <w:pPr>
      <w:spacing w:before="100" w:beforeAutospacing="1" w:after="100" w:afterAutospacing="1"/>
    </w:pPr>
    <w:rPr>
      <w:rFonts w:ascii="Tahoma" w:hAnsi="Tahoma" w:eastAsia="Times New Roman" w:cs="Tahoma"/>
      <w:b/>
      <w:bCs/>
      <w:color w:val="000000"/>
      <w:sz w:val="18"/>
      <w:szCs w:val="18"/>
      <w:lang w:eastAsia="en-US"/>
    </w:rPr>
  </w:style>
  <w:style w:type="character" w:customStyle="1" w:styleId="620">
    <w:name w:val="未处理的提及1"/>
    <w:basedOn w:val="7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969</Words>
  <Characters>5528</Characters>
  <Lines>46</Lines>
  <Paragraphs>12</Paragraphs>
  <TotalTime>10</TotalTime>
  <ScaleCrop>false</ScaleCrop>
  <LinksUpToDate>false</LinksUpToDate>
  <CharactersWithSpaces>6485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2022-10-12T08:06:00Z</dcterms:created>
  <dcterms:modified xsi:type="dcterms:W3CDTF">2022-10-12T12:13:16Z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