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 xml:space="preserve">[110bis-e-R17-MIMO-03] Email discussion on miscellaneous corrections on DL </w:t>
      </w:r>
      <w:proofErr w:type="spellStart"/>
      <w:r w:rsidR="009B19BE" w:rsidRPr="009B19BE">
        <w:rPr>
          <w:rFonts w:ascii="Arial" w:hAnsi="Arial"/>
        </w:rPr>
        <w:t>mTRP</w:t>
      </w:r>
      <w:proofErr w:type="spellEnd"/>
      <w:r w:rsidR="009B19BE" w:rsidRPr="009B19BE">
        <w:rPr>
          <w:rFonts w:ascii="Arial" w:hAnsi="Arial"/>
        </w:rPr>
        <w:t xml:space="preserve">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Regarding Huawei’s CR, the clarification makes the spec clearer, and I did not see any concern so far</w:t>
      </w:r>
      <w:r>
        <w:rPr>
          <w:rFonts w:eastAsia="DengXian"/>
          <w:sz w:val="20"/>
          <w:szCs w:val="20"/>
          <w:lang w:eastAsia="zh-CN"/>
        </w:rPr>
        <w:t xml:space="preserve"> (in the previous round of discussions)</w:t>
      </w:r>
      <w:r>
        <w:rPr>
          <w:rFonts w:eastAsia="DengXian"/>
          <w:sz w:val="20"/>
          <w:szCs w:val="20"/>
          <w:lang w:eastAsia="zh-CN"/>
        </w:rPr>
        <w:t xml:space="preserve">. Regarding </w:t>
      </w:r>
      <w:proofErr w:type="spellStart"/>
      <w:r>
        <w:rPr>
          <w:rFonts w:eastAsia="DengXian"/>
          <w:sz w:val="20"/>
          <w:szCs w:val="20"/>
          <w:lang w:eastAsia="zh-CN"/>
        </w:rPr>
        <w:t>vivo’s</w:t>
      </w:r>
      <w:proofErr w:type="spellEnd"/>
      <w:r>
        <w:rPr>
          <w:rFonts w:eastAsia="DengXian"/>
          <w:sz w:val="20"/>
          <w:szCs w:val="20"/>
          <w:lang w:eastAsia="zh-CN"/>
        </w:rPr>
        <w:t xml:space="preserve"> CR, the following is suggested which is based on both </w:t>
      </w:r>
      <w:proofErr w:type="spellStart"/>
      <w:r>
        <w:rPr>
          <w:rFonts w:eastAsia="DengXian"/>
          <w:sz w:val="20"/>
          <w:szCs w:val="20"/>
          <w:lang w:eastAsia="zh-CN"/>
        </w:rPr>
        <w:t>vivo’s</w:t>
      </w:r>
      <w:proofErr w:type="spellEnd"/>
      <w:r>
        <w:rPr>
          <w:rFonts w:eastAsia="DengXian"/>
          <w:sz w:val="20"/>
          <w:szCs w:val="20"/>
          <w:lang w:eastAsia="zh-CN"/>
        </w:rPr>
        <w:t xml:space="preserve">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w:t>
      </w:r>
      <w:proofErr w:type="gramStart"/>
      <w:r>
        <w:rPr>
          <w:rFonts w:eastAsia="DengXian"/>
          <w:b/>
          <w:bCs/>
          <w:sz w:val="22"/>
          <w:szCs w:val="22"/>
          <w:lang w:eastAsia="zh-CN"/>
        </w:rPr>
        <w:t xml:space="preserve">are also part of </w:t>
      </w:r>
      <w:r>
        <w:rPr>
          <w:rFonts w:eastAsia="DengXian"/>
          <w:b/>
          <w:bCs/>
          <w:sz w:val="22"/>
          <w:szCs w:val="22"/>
          <w:lang w:eastAsia="zh-CN"/>
        </w:rPr>
        <w:t xml:space="preserve">the </w:t>
      </w:r>
      <w:r>
        <w:rPr>
          <w:rFonts w:eastAsia="DengXian"/>
          <w:b/>
          <w:bCs/>
          <w:sz w:val="22"/>
          <w:szCs w:val="22"/>
          <w:lang w:eastAsia="zh-CN"/>
        </w:rPr>
        <w:t>changes</w:t>
      </w:r>
      <w:proofErr w:type="gramEnd"/>
      <w:r>
        <w:rPr>
          <w:rFonts w:eastAsia="DengXian"/>
          <w:b/>
          <w:bCs/>
          <w:sz w:val="22"/>
          <w:szCs w:val="22"/>
          <w:lang w:eastAsia="zh-CN"/>
        </w:rPr>
        <w:t xml:space="preserve">. </w:t>
      </w:r>
    </w:p>
    <w:p w14:paraId="02A62502" w14:textId="77777777" w:rsidR="009B19BE" w:rsidRDefault="009B19BE">
      <w:pPr>
        <w:pStyle w:val="0Maintext"/>
        <w:spacing w:after="60" w:afterAutospacing="0"/>
        <w:ind w:firstLine="0"/>
        <w:rPr>
          <w:lang w:val="en-US"/>
        </w:rPr>
      </w:pPr>
    </w:p>
    <w:p w14:paraId="51DA1848" w14:textId="6A52B993" w:rsidR="009B19BE" w:rsidRDefault="009B19BE">
      <w:pPr>
        <w:pStyle w:val="0Maintext"/>
        <w:spacing w:after="60" w:afterAutospacing="0"/>
        <w:ind w:firstLine="0"/>
        <w:rPr>
          <w:lang w:val="en-US"/>
        </w:rPr>
      </w:pPr>
      <w:r>
        <w:rPr>
          <w:noProof/>
        </w:rPr>
        <mc:AlternateContent>
          <mc:Choice Requires="wps">
            <w:drawing>
              <wp:anchor distT="0" distB="0" distL="114300" distR="114300" simplePos="0" relativeHeight="251659264" behindDoc="0" locked="0" layoutInCell="1" allowOverlap="1" wp14:anchorId="03DE5D4A" wp14:editId="04ADA49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if any, a second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properties that are different than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r w:rsidRPr="00DC385C">
                              <w:rPr>
                                <w:rFonts w:eastAsia="SimSun"/>
                                <w:color w:val="FF0000"/>
                                <w:sz w:val="20"/>
                                <w:szCs w:val="20"/>
                                <w:lang w:val="en-GB" w:eastAsia="en-US"/>
                              </w:rPr>
                              <w:t>and/</w:t>
                            </w:r>
                            <w:r w:rsidRPr="00AB0BED">
                              <w:rPr>
                                <w:rFonts w:eastAsia="SimSun"/>
                                <w:sz w:val="20"/>
                                <w:szCs w:val="20"/>
                                <w:lang w:val="en-GB" w:eastAsia="en-US"/>
                              </w:rPr>
                              <w:t>or to the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if any, a second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properties that are different than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r w:rsidRPr="00DC385C">
                        <w:rPr>
                          <w:rFonts w:eastAsia="SimSun"/>
                          <w:color w:val="FF0000"/>
                          <w:sz w:val="20"/>
                          <w:szCs w:val="20"/>
                          <w:lang w:val="en-GB" w:eastAsia="en-US"/>
                        </w:rPr>
                        <w:t>and/</w:t>
                      </w:r>
                      <w:r w:rsidRPr="00AB0BED">
                        <w:rPr>
                          <w:rFonts w:eastAsia="SimSun"/>
                          <w:sz w:val="20"/>
                          <w:szCs w:val="20"/>
                          <w:lang w:val="en-GB" w:eastAsia="en-US"/>
                        </w:rPr>
                        <w:t>or to the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7777777" w:rsidR="009B19BE" w:rsidRDefault="009B19BE" w:rsidP="00206154">
            <w:pPr>
              <w:snapToGrid w:val="0"/>
              <w:jc w:val="both"/>
              <w:rPr>
                <w:sz w:val="20"/>
                <w:szCs w:val="20"/>
              </w:rPr>
            </w:pPr>
          </w:p>
        </w:tc>
        <w:tc>
          <w:tcPr>
            <w:tcW w:w="8080" w:type="dxa"/>
          </w:tcPr>
          <w:p w14:paraId="059D3381" w14:textId="77777777" w:rsidR="009B19BE" w:rsidRDefault="009B19BE" w:rsidP="00206154">
            <w:pPr>
              <w:snapToGrid w:val="0"/>
              <w:jc w:val="both"/>
              <w:rPr>
                <w:sz w:val="20"/>
                <w:szCs w:val="20"/>
              </w:rPr>
            </w:pPr>
          </w:p>
        </w:tc>
      </w:tr>
      <w:tr w:rsidR="009B19BE" w14:paraId="7C3C167D" w14:textId="77777777" w:rsidTr="00206154">
        <w:trPr>
          <w:trHeight w:val="66"/>
        </w:trPr>
        <w:tc>
          <w:tcPr>
            <w:tcW w:w="1696" w:type="dxa"/>
          </w:tcPr>
          <w:p w14:paraId="3D2015D6" w14:textId="77777777" w:rsidR="009B19BE" w:rsidRDefault="009B19BE" w:rsidP="00206154">
            <w:pPr>
              <w:snapToGrid w:val="0"/>
              <w:jc w:val="both"/>
              <w:rPr>
                <w:sz w:val="20"/>
                <w:szCs w:val="20"/>
              </w:rPr>
            </w:pPr>
          </w:p>
        </w:tc>
        <w:tc>
          <w:tcPr>
            <w:tcW w:w="8080" w:type="dxa"/>
          </w:tcPr>
          <w:p w14:paraId="12F28099" w14:textId="77777777" w:rsidR="009B19BE" w:rsidRDefault="009B19BE" w:rsidP="00206154">
            <w:pPr>
              <w:snapToGrid w:val="0"/>
              <w:jc w:val="both"/>
              <w:rPr>
                <w:sz w:val="20"/>
                <w:szCs w:val="20"/>
              </w:rPr>
            </w:pPr>
          </w:p>
        </w:tc>
      </w:tr>
      <w:tr w:rsidR="009B19BE" w14:paraId="5F854C2C" w14:textId="77777777" w:rsidTr="00206154">
        <w:trPr>
          <w:trHeight w:val="66"/>
        </w:trPr>
        <w:tc>
          <w:tcPr>
            <w:tcW w:w="1696" w:type="dxa"/>
          </w:tcPr>
          <w:p w14:paraId="2837C05C" w14:textId="77777777" w:rsidR="009B19BE" w:rsidRDefault="009B19BE" w:rsidP="00206154">
            <w:pPr>
              <w:snapToGrid w:val="0"/>
              <w:jc w:val="both"/>
              <w:rPr>
                <w:rFonts w:eastAsia="DengXian"/>
                <w:sz w:val="20"/>
                <w:szCs w:val="20"/>
                <w:lang w:eastAsia="zh-CN"/>
              </w:rPr>
            </w:pPr>
          </w:p>
        </w:tc>
        <w:tc>
          <w:tcPr>
            <w:tcW w:w="8080" w:type="dxa"/>
          </w:tcPr>
          <w:p w14:paraId="7DDB4224" w14:textId="77777777" w:rsidR="009B19BE" w:rsidRDefault="009B19BE" w:rsidP="00206154">
            <w:pPr>
              <w:snapToGrid w:val="0"/>
              <w:jc w:val="both"/>
              <w:rPr>
                <w:rFonts w:eastAsia="DengXian"/>
                <w:sz w:val="20"/>
                <w:szCs w:val="20"/>
                <w:lang w:eastAsia="zh-CN"/>
              </w:rPr>
            </w:pPr>
          </w:p>
        </w:tc>
      </w:tr>
      <w:tr w:rsidR="009B19BE" w14:paraId="058C744E" w14:textId="77777777" w:rsidTr="00206154">
        <w:trPr>
          <w:trHeight w:val="66"/>
        </w:trPr>
        <w:tc>
          <w:tcPr>
            <w:tcW w:w="1696" w:type="dxa"/>
          </w:tcPr>
          <w:p w14:paraId="17C81FCF" w14:textId="77777777" w:rsidR="009B19BE" w:rsidRDefault="009B19BE" w:rsidP="00206154">
            <w:pPr>
              <w:snapToGrid w:val="0"/>
              <w:jc w:val="both"/>
              <w:rPr>
                <w:rFonts w:eastAsia="DengXian"/>
                <w:sz w:val="20"/>
                <w:szCs w:val="20"/>
                <w:lang w:eastAsia="zh-CN"/>
              </w:rPr>
            </w:pPr>
          </w:p>
        </w:tc>
        <w:tc>
          <w:tcPr>
            <w:tcW w:w="8080" w:type="dxa"/>
          </w:tcPr>
          <w:p w14:paraId="73790A48" w14:textId="77777777" w:rsidR="009B19BE" w:rsidRDefault="009B19BE" w:rsidP="00206154">
            <w:pPr>
              <w:snapToGrid w:val="0"/>
              <w:jc w:val="both"/>
              <w:rPr>
                <w:rFonts w:eastAsia="DengXian"/>
                <w:sz w:val="20"/>
                <w:szCs w:val="20"/>
                <w:lang w:eastAsia="zh-CN"/>
              </w:rPr>
            </w:pPr>
          </w:p>
        </w:tc>
      </w:tr>
      <w:tr w:rsidR="009B19BE" w14:paraId="1246D8C9" w14:textId="77777777" w:rsidTr="00206154">
        <w:trPr>
          <w:trHeight w:val="66"/>
        </w:trPr>
        <w:tc>
          <w:tcPr>
            <w:tcW w:w="1696" w:type="dxa"/>
          </w:tcPr>
          <w:p w14:paraId="78568975" w14:textId="77777777" w:rsidR="009B19BE" w:rsidRDefault="009B19BE" w:rsidP="00206154">
            <w:pPr>
              <w:snapToGrid w:val="0"/>
              <w:jc w:val="both"/>
              <w:rPr>
                <w:rFonts w:eastAsia="DengXian"/>
                <w:sz w:val="20"/>
                <w:szCs w:val="20"/>
                <w:lang w:eastAsia="zh-CN"/>
              </w:rPr>
            </w:pPr>
          </w:p>
        </w:tc>
        <w:tc>
          <w:tcPr>
            <w:tcW w:w="8080" w:type="dxa"/>
          </w:tcPr>
          <w:p w14:paraId="2AE44564" w14:textId="77777777" w:rsidR="009B19BE" w:rsidRDefault="009B19BE" w:rsidP="00206154">
            <w:pPr>
              <w:snapToGrid w:val="0"/>
              <w:jc w:val="both"/>
              <w:rPr>
                <w:rFonts w:eastAsia="DengXian"/>
                <w:sz w:val="20"/>
                <w:szCs w:val="20"/>
                <w:lang w:eastAsia="zh-CN"/>
              </w:rPr>
            </w:pP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DengXian"/>
                <w:sz w:val="20"/>
                <w:szCs w:val="20"/>
                <w:lang w:eastAsia="zh-CN"/>
              </w:rPr>
            </w:pPr>
          </w:p>
        </w:tc>
        <w:tc>
          <w:tcPr>
            <w:tcW w:w="8080" w:type="dxa"/>
          </w:tcPr>
          <w:p w14:paraId="237061A1" w14:textId="77777777" w:rsidR="009B19BE" w:rsidRDefault="009B19BE" w:rsidP="00206154">
            <w:pPr>
              <w:snapToGrid w:val="0"/>
              <w:jc w:val="both"/>
              <w:rPr>
                <w:rFonts w:eastAsia="DengXian"/>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DengXian"/>
                <w:sz w:val="20"/>
                <w:szCs w:val="20"/>
                <w:lang w:eastAsia="zh-CN"/>
              </w:rPr>
            </w:pPr>
          </w:p>
        </w:tc>
        <w:tc>
          <w:tcPr>
            <w:tcW w:w="8080" w:type="dxa"/>
          </w:tcPr>
          <w:p w14:paraId="184B5DC8" w14:textId="77777777" w:rsidR="009B19BE" w:rsidRDefault="009B19BE" w:rsidP="00206154">
            <w:pPr>
              <w:snapToGrid w:val="0"/>
              <w:jc w:val="both"/>
              <w:rPr>
                <w:rFonts w:eastAsia="DengXian"/>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w:t>
      </w:r>
      <w:r>
        <w:rPr>
          <w:rFonts w:eastAsia="DengXian"/>
          <w:sz w:val="20"/>
          <w:szCs w:val="20"/>
          <w:lang w:eastAsia="zh-CN"/>
        </w:rPr>
        <w:t xml:space="preserve">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5332C0CC" w:rsidR="00841742" w:rsidRDefault="00841742">
            <w:pPr>
              <w:snapToGrid w:val="0"/>
              <w:jc w:val="both"/>
              <w:rPr>
                <w:sz w:val="20"/>
                <w:szCs w:val="20"/>
              </w:rPr>
            </w:pPr>
          </w:p>
        </w:tc>
        <w:tc>
          <w:tcPr>
            <w:tcW w:w="8080" w:type="dxa"/>
          </w:tcPr>
          <w:p w14:paraId="6AB52C98" w14:textId="7893A520" w:rsidR="00841742" w:rsidRDefault="00841742">
            <w:pPr>
              <w:snapToGrid w:val="0"/>
              <w:jc w:val="both"/>
              <w:rPr>
                <w:sz w:val="20"/>
                <w:szCs w:val="20"/>
              </w:rPr>
            </w:pPr>
          </w:p>
        </w:tc>
      </w:tr>
      <w:tr w:rsidR="00841742" w14:paraId="375344F3" w14:textId="77777777">
        <w:trPr>
          <w:trHeight w:val="66"/>
        </w:trPr>
        <w:tc>
          <w:tcPr>
            <w:tcW w:w="1696" w:type="dxa"/>
          </w:tcPr>
          <w:p w14:paraId="214B5B79" w14:textId="78D33F87" w:rsidR="00841742" w:rsidRDefault="00841742">
            <w:pPr>
              <w:snapToGrid w:val="0"/>
              <w:jc w:val="both"/>
              <w:rPr>
                <w:sz w:val="20"/>
                <w:szCs w:val="20"/>
              </w:rPr>
            </w:pPr>
          </w:p>
        </w:tc>
        <w:tc>
          <w:tcPr>
            <w:tcW w:w="8080" w:type="dxa"/>
          </w:tcPr>
          <w:p w14:paraId="6300F8BD" w14:textId="5D1B3BD5" w:rsidR="00841742" w:rsidRDefault="00841742">
            <w:pPr>
              <w:snapToGrid w:val="0"/>
              <w:jc w:val="both"/>
              <w:rPr>
                <w:sz w:val="20"/>
                <w:szCs w:val="20"/>
              </w:rPr>
            </w:pPr>
          </w:p>
        </w:tc>
      </w:tr>
      <w:tr w:rsidR="00841742" w14:paraId="019B7352" w14:textId="77777777">
        <w:trPr>
          <w:trHeight w:val="66"/>
        </w:trPr>
        <w:tc>
          <w:tcPr>
            <w:tcW w:w="1696" w:type="dxa"/>
          </w:tcPr>
          <w:p w14:paraId="1088F366" w14:textId="3A865A69" w:rsidR="00841742" w:rsidRDefault="00841742">
            <w:pPr>
              <w:snapToGrid w:val="0"/>
              <w:jc w:val="both"/>
              <w:rPr>
                <w:rFonts w:eastAsia="DengXian"/>
                <w:sz w:val="20"/>
                <w:szCs w:val="20"/>
                <w:lang w:eastAsia="zh-CN"/>
              </w:rPr>
            </w:pPr>
          </w:p>
        </w:tc>
        <w:tc>
          <w:tcPr>
            <w:tcW w:w="8080" w:type="dxa"/>
          </w:tcPr>
          <w:p w14:paraId="70EE50B7" w14:textId="5B39267C" w:rsidR="00841742" w:rsidRDefault="00841742">
            <w:pPr>
              <w:snapToGrid w:val="0"/>
              <w:jc w:val="both"/>
              <w:rPr>
                <w:rFonts w:eastAsia="DengXian"/>
                <w:sz w:val="20"/>
                <w:szCs w:val="20"/>
                <w:lang w:eastAsia="zh-CN"/>
              </w:rPr>
            </w:pPr>
          </w:p>
        </w:tc>
      </w:tr>
      <w:tr w:rsidR="00841742" w14:paraId="102618EC" w14:textId="77777777">
        <w:trPr>
          <w:trHeight w:val="66"/>
        </w:trPr>
        <w:tc>
          <w:tcPr>
            <w:tcW w:w="1696" w:type="dxa"/>
          </w:tcPr>
          <w:p w14:paraId="43A3C790" w14:textId="78E9EB06" w:rsidR="00841742" w:rsidRDefault="00841742">
            <w:pPr>
              <w:snapToGrid w:val="0"/>
              <w:jc w:val="both"/>
              <w:rPr>
                <w:rFonts w:eastAsia="DengXian"/>
                <w:sz w:val="20"/>
                <w:szCs w:val="20"/>
                <w:lang w:eastAsia="zh-CN"/>
              </w:rPr>
            </w:pPr>
          </w:p>
        </w:tc>
        <w:tc>
          <w:tcPr>
            <w:tcW w:w="8080" w:type="dxa"/>
          </w:tcPr>
          <w:p w14:paraId="7D2BB0AF" w14:textId="4F472F2F" w:rsidR="00841742" w:rsidRDefault="00841742">
            <w:pPr>
              <w:snapToGrid w:val="0"/>
              <w:jc w:val="both"/>
              <w:rPr>
                <w:rFonts w:eastAsia="DengXian"/>
                <w:sz w:val="20"/>
                <w:szCs w:val="20"/>
                <w:lang w:eastAsia="zh-CN"/>
              </w:rPr>
            </w:pPr>
          </w:p>
        </w:tc>
      </w:tr>
      <w:tr w:rsidR="00841742" w14:paraId="310EDAA6" w14:textId="77777777">
        <w:trPr>
          <w:trHeight w:val="66"/>
        </w:trPr>
        <w:tc>
          <w:tcPr>
            <w:tcW w:w="1696" w:type="dxa"/>
          </w:tcPr>
          <w:p w14:paraId="2096C637" w14:textId="73D6D08E" w:rsidR="00841742" w:rsidRDefault="00841742">
            <w:pPr>
              <w:snapToGrid w:val="0"/>
              <w:jc w:val="both"/>
              <w:rPr>
                <w:rFonts w:eastAsia="DengXian"/>
                <w:sz w:val="20"/>
                <w:szCs w:val="20"/>
                <w:lang w:eastAsia="zh-CN"/>
              </w:rPr>
            </w:pPr>
          </w:p>
        </w:tc>
        <w:tc>
          <w:tcPr>
            <w:tcW w:w="8080" w:type="dxa"/>
          </w:tcPr>
          <w:p w14:paraId="533EF376" w14:textId="40EA33ED" w:rsidR="00841742" w:rsidRDefault="00841742">
            <w:pPr>
              <w:snapToGrid w:val="0"/>
              <w:jc w:val="both"/>
              <w:rPr>
                <w:rFonts w:eastAsia="DengXian"/>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DengXian"/>
                <w:sz w:val="20"/>
                <w:szCs w:val="20"/>
                <w:lang w:eastAsia="zh-CN"/>
              </w:rPr>
            </w:pPr>
          </w:p>
        </w:tc>
        <w:tc>
          <w:tcPr>
            <w:tcW w:w="8080" w:type="dxa"/>
          </w:tcPr>
          <w:p w14:paraId="2F01A706" w14:textId="130BC00A" w:rsidR="00841742" w:rsidRDefault="00841742">
            <w:pPr>
              <w:snapToGrid w:val="0"/>
              <w:jc w:val="both"/>
              <w:rPr>
                <w:rFonts w:eastAsia="DengXian"/>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DengXian"/>
                <w:sz w:val="20"/>
                <w:szCs w:val="20"/>
                <w:lang w:eastAsia="zh-CN"/>
              </w:rPr>
            </w:pPr>
          </w:p>
        </w:tc>
        <w:tc>
          <w:tcPr>
            <w:tcW w:w="8080" w:type="dxa"/>
          </w:tcPr>
          <w:p w14:paraId="14F353FD" w14:textId="6CFBBCE0" w:rsidR="00841742" w:rsidRDefault="00841742">
            <w:pPr>
              <w:snapToGrid w:val="0"/>
              <w:jc w:val="both"/>
              <w:rPr>
                <w:rFonts w:eastAsia="DengXian"/>
                <w:sz w:val="20"/>
                <w:szCs w:val="20"/>
                <w:lang w:eastAsia="zh-CN"/>
              </w:rPr>
            </w:pP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F473" w14:textId="77777777" w:rsidR="004E0EE2" w:rsidRDefault="004E0EE2" w:rsidP="0045772B">
      <w:r>
        <w:separator/>
      </w:r>
    </w:p>
  </w:endnote>
  <w:endnote w:type="continuationSeparator" w:id="0">
    <w:p w14:paraId="39BD92E8" w14:textId="77777777" w:rsidR="004E0EE2" w:rsidRDefault="004E0EE2"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BB84" w14:textId="77777777" w:rsidR="004E0EE2" w:rsidRDefault="004E0EE2" w:rsidP="0045772B">
      <w:r>
        <w:separator/>
      </w:r>
    </w:p>
  </w:footnote>
  <w:footnote w:type="continuationSeparator" w:id="0">
    <w:p w14:paraId="3FBD183A" w14:textId="77777777" w:rsidR="004E0EE2" w:rsidRDefault="004E0EE2"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7FF1"/>
    <w:rsid w:val="002C0540"/>
    <w:rsid w:val="002C06F9"/>
    <w:rsid w:val="002C28EE"/>
    <w:rsid w:val="002C2F10"/>
    <w:rsid w:val="002C32F3"/>
    <w:rsid w:val="002C475D"/>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69F6"/>
    <w:rsid w:val="003076FD"/>
    <w:rsid w:val="00310173"/>
    <w:rsid w:val="00310DDE"/>
    <w:rsid w:val="003115A1"/>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2022-10-10T17:58:00Z</dcterms:created>
  <dcterms:modified xsi:type="dcterms:W3CDTF">2022-10-11T23:35:00Z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