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CE9" w14:textId="77777777" w:rsidR="007B4147" w:rsidRDefault="007E0101">
      <w:pPr>
        <w:tabs>
          <w:tab w:val="center" w:pos="4536"/>
          <w:tab w:val="right" w:pos="8280"/>
          <w:tab w:val="right" w:pos="9639"/>
        </w:tabs>
        <w:ind w:right="2"/>
        <w:rPr>
          <w:rFonts w:ascii="Arial" w:eastAsia="宋体" w:hAnsi="Arial" w:cs="Arial"/>
          <w:b/>
          <w:bCs/>
          <w:lang w:eastAsia="zh-CN"/>
        </w:rPr>
      </w:pPr>
      <w:r>
        <w:rPr>
          <w:rFonts w:ascii="Arial" w:hAnsi="Arial" w:cs="Arial"/>
          <w:b/>
          <w:bCs/>
          <w:lang w:val="de-DE"/>
        </w:rPr>
        <w:t>3GPP TSG RAN WG1 #1</w:t>
      </w:r>
      <w:r>
        <w:rPr>
          <w:rFonts w:ascii="Arial" w:eastAsia="宋体"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宋体"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宋体"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宋体" w:hAnsi="Arial" w:cs="Arial" w:hint="eastAsia"/>
          <w:b/>
          <w:bCs/>
          <w:lang w:eastAsia="zh-CN"/>
        </w:rPr>
        <w:t>19</w:t>
      </w:r>
      <w:r>
        <w:rPr>
          <w:rFonts w:ascii="Arial" w:eastAsia="宋体"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宋体"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afff2"/>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宋体"/>
                <w:sz w:val="18"/>
                <w:szCs w:val="18"/>
                <w:lang w:eastAsia="zh-CN"/>
              </w:rPr>
            </w:pPr>
            <w:r>
              <w:rPr>
                <w:rFonts w:eastAsia="宋体" w:hint="eastAsia"/>
                <w:sz w:val="18"/>
                <w:szCs w:val="18"/>
                <w:lang w:eastAsia="zh-CN"/>
              </w:rPr>
              <w:t>1</w:t>
            </w:r>
          </w:p>
        </w:tc>
        <w:tc>
          <w:tcPr>
            <w:tcW w:w="5495" w:type="dxa"/>
          </w:tcPr>
          <w:p w14:paraId="1801F6E3" w14:textId="77777777" w:rsidR="007B4147" w:rsidRDefault="007E0101">
            <w:pPr>
              <w:snapToGrid w:val="0"/>
              <w:rPr>
                <w:rFonts w:eastAsia="等线"/>
                <w:b/>
                <w:bCs/>
                <w:sz w:val="18"/>
                <w:szCs w:val="18"/>
                <w:lang w:eastAsia="zh-CN"/>
              </w:rPr>
            </w:pPr>
            <w:r>
              <w:rPr>
                <w:rFonts w:eastAsia="等线" w:hint="eastAsia"/>
                <w:b/>
                <w:bCs/>
                <w:sz w:val="18"/>
                <w:szCs w:val="18"/>
                <w:lang w:eastAsia="zh-CN"/>
              </w:rPr>
              <w:t xml:space="preserve">TS 38.214, draft CR on available slot offset </w:t>
            </w:r>
            <w:r>
              <w:rPr>
                <w:rFonts w:eastAsia="等线"/>
                <w:b/>
                <w:bCs/>
                <w:sz w:val="18"/>
                <w:szCs w:val="18"/>
                <w:lang w:eastAsia="zh-CN"/>
              </w:rPr>
              <w:t>‘</w:t>
            </w:r>
            <w:r>
              <w:rPr>
                <w:rFonts w:eastAsia="等线" w:hint="eastAsia"/>
                <w:b/>
                <w:bCs/>
                <w:sz w:val="18"/>
                <w:szCs w:val="18"/>
                <w:lang w:eastAsia="zh-CN"/>
              </w:rPr>
              <w:t>t</w:t>
            </w:r>
            <w:r>
              <w:rPr>
                <w:rFonts w:eastAsia="等线"/>
                <w:b/>
                <w:bCs/>
                <w:sz w:val="18"/>
                <w:szCs w:val="18"/>
                <w:lang w:eastAsia="zh-CN"/>
              </w:rPr>
              <w:t>’</w:t>
            </w:r>
            <w:r>
              <w:rPr>
                <w:rFonts w:eastAsia="等线"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aff7"/>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aff2"/>
                    <w:adjustRightInd w:val="0"/>
                    <w:snapToGrid w:val="0"/>
                    <w:spacing w:before="0" w:beforeAutospacing="0" w:after="0" w:afterAutospacing="0" w:line="240" w:lineRule="auto"/>
                    <w:rPr>
                      <w:sz w:val="18"/>
                      <w:szCs w:val="18"/>
                    </w:rPr>
                  </w:pPr>
                  <w:r>
                    <w:rPr>
                      <w:rStyle w:val="affd"/>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afff2"/>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afff2"/>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afff2"/>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afff2"/>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afff2"/>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等线"/>
                <w:sz w:val="18"/>
                <w:szCs w:val="18"/>
                <w:lang w:eastAsia="zh-CN"/>
              </w:rPr>
            </w:pPr>
          </w:p>
          <w:p w14:paraId="1BF92400" w14:textId="77777777" w:rsidR="007B4147" w:rsidRDefault="007E0101">
            <w:pPr>
              <w:snapToGrid w:val="0"/>
              <w:rPr>
                <w:rFonts w:eastAsia="等线"/>
                <w:color w:val="0000FF"/>
                <w:sz w:val="18"/>
                <w:szCs w:val="18"/>
                <w:lang w:eastAsia="zh-CN"/>
              </w:rPr>
            </w:pPr>
            <w:r>
              <w:rPr>
                <w:rFonts w:eastAsia="等线"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等线"/>
                <w:color w:val="0000FF"/>
                <w:sz w:val="18"/>
                <w:szCs w:val="18"/>
                <w:lang w:eastAsia="zh-CN"/>
              </w:rPr>
            </w:pPr>
          </w:p>
          <w:p w14:paraId="165C7B05" w14:textId="77777777" w:rsidR="007B4147" w:rsidRDefault="007E0101">
            <w:pPr>
              <w:snapToGrid w:val="0"/>
              <w:rPr>
                <w:rFonts w:eastAsia="等线"/>
                <w:sz w:val="18"/>
                <w:szCs w:val="18"/>
                <w:lang w:eastAsia="zh-CN"/>
              </w:rPr>
            </w:pPr>
            <w:r>
              <w:rPr>
                <w:rFonts w:eastAsia="等线"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宋体"/>
                <w:sz w:val="20"/>
                <w:szCs w:val="20"/>
                <w:lang w:eastAsia="zh-CN"/>
              </w:rPr>
            </w:pPr>
            <w:r>
              <w:rPr>
                <w:rFonts w:eastAsia="宋体" w:hint="eastAsia"/>
                <w:sz w:val="20"/>
                <w:szCs w:val="20"/>
                <w:lang w:eastAsia="zh-CN"/>
              </w:rPr>
              <w:lastRenderedPageBreak/>
              <w:t>ZTE</w:t>
            </w:r>
          </w:p>
        </w:tc>
        <w:tc>
          <w:tcPr>
            <w:tcW w:w="1089" w:type="dxa"/>
          </w:tcPr>
          <w:p w14:paraId="0A895120" w14:textId="77777777" w:rsidR="007B4147" w:rsidRDefault="007E0101">
            <w:pPr>
              <w:snapToGrid w:val="0"/>
              <w:rPr>
                <w:rFonts w:eastAsia="等线"/>
                <w:sz w:val="20"/>
                <w:szCs w:val="20"/>
                <w:lang w:eastAsia="zh-CN"/>
              </w:rPr>
            </w:pPr>
            <w:r>
              <w:rPr>
                <w:rFonts w:eastAsia="等线"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0EC0D5B7" w14:textId="4C6A6998" w:rsidR="00C06A5A" w:rsidRDefault="00D14E57" w:rsidP="00C06A5A">
            <w:pPr>
              <w:snapToGrid w:val="0"/>
              <w:rPr>
                <w:sz w:val="18"/>
                <w:szCs w:val="18"/>
              </w:rPr>
            </w:pPr>
            <w:r>
              <w:rPr>
                <w:sz w:val="18"/>
                <w:szCs w:val="18"/>
              </w:rPr>
              <w:lastRenderedPageBreak/>
              <w:t>Intel: Fine to discuss.</w:t>
            </w:r>
          </w:p>
          <w:p w14:paraId="04B07DCB" w14:textId="2BF49ECB" w:rsidR="00210141" w:rsidRDefault="00C06A5A" w:rsidP="00C06A5A">
            <w:pPr>
              <w:snapToGrid w:val="0"/>
              <w:rPr>
                <w:sz w:val="18"/>
                <w:szCs w:val="18"/>
              </w:rPr>
            </w:pPr>
            <w:r>
              <w:rPr>
                <w:rFonts w:hint="eastAsia"/>
                <w:sz w:val="18"/>
                <w:szCs w:val="18"/>
              </w:rPr>
              <w:t>LGE: OK to discuss as E.</w:t>
            </w:r>
          </w:p>
          <w:p w14:paraId="2C3FA73D" w14:textId="77777777" w:rsidR="00210141" w:rsidRDefault="00210141" w:rsidP="00C06A5A">
            <w:pPr>
              <w:snapToGrid w:val="0"/>
              <w:rPr>
                <w:sz w:val="18"/>
                <w:szCs w:val="18"/>
              </w:rPr>
            </w:pPr>
            <w:r>
              <w:rPr>
                <w:sz w:val="18"/>
                <w:szCs w:val="18"/>
              </w:rPr>
              <w:t xml:space="preserve">Ericsson: OK to </w:t>
            </w:r>
            <w:proofErr w:type="spellStart"/>
            <w:r>
              <w:rPr>
                <w:sz w:val="18"/>
                <w:szCs w:val="18"/>
              </w:rPr>
              <w:t>disucss</w:t>
            </w:r>
            <w:proofErr w:type="spellEnd"/>
          </w:p>
          <w:p w14:paraId="50F9F4CB" w14:textId="184E5CEA" w:rsidR="00DF0D09" w:rsidRPr="00DF0D09" w:rsidRDefault="00DF0D09" w:rsidP="00C06A5A">
            <w:pPr>
              <w:snapToGrid w:val="0"/>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Fine to discuss</w:t>
            </w:r>
          </w:p>
        </w:tc>
      </w:tr>
      <w:tr w:rsidR="006C20D4" w14:paraId="3AE90D17" w14:textId="77777777">
        <w:trPr>
          <w:trHeight w:val="126"/>
        </w:trPr>
        <w:tc>
          <w:tcPr>
            <w:tcW w:w="723" w:type="dxa"/>
          </w:tcPr>
          <w:p w14:paraId="0EAC1A9C" w14:textId="77777777" w:rsidR="006C20D4" w:rsidRDefault="006C20D4" w:rsidP="006C20D4">
            <w:pPr>
              <w:snapToGrid w:val="0"/>
              <w:rPr>
                <w:rFonts w:eastAsia="宋体"/>
                <w:sz w:val="18"/>
                <w:szCs w:val="18"/>
                <w:lang w:eastAsia="zh-CN"/>
              </w:rPr>
            </w:pPr>
            <w:r>
              <w:rPr>
                <w:rFonts w:eastAsia="宋体" w:hint="eastAsia"/>
                <w:sz w:val="18"/>
                <w:szCs w:val="18"/>
                <w:lang w:eastAsia="zh-CN"/>
              </w:rPr>
              <w:lastRenderedPageBreak/>
              <w:t>2</w:t>
            </w:r>
          </w:p>
        </w:tc>
        <w:tc>
          <w:tcPr>
            <w:tcW w:w="5495" w:type="dxa"/>
          </w:tcPr>
          <w:p w14:paraId="7B857FA0" w14:textId="77777777" w:rsidR="006C20D4" w:rsidRDefault="006C20D4" w:rsidP="006C20D4">
            <w:pPr>
              <w:snapToGrid w:val="0"/>
              <w:rPr>
                <w:rFonts w:eastAsia="等线"/>
                <w:b/>
                <w:bCs/>
                <w:sz w:val="18"/>
                <w:szCs w:val="18"/>
                <w:lang w:eastAsia="zh-CN"/>
              </w:rPr>
            </w:pPr>
            <w:r>
              <w:rPr>
                <w:rFonts w:eastAsia="等线"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等线"/>
                <w:sz w:val="18"/>
                <w:szCs w:val="18"/>
                <w:lang w:eastAsia="zh-CN"/>
              </w:rPr>
            </w:pPr>
          </w:p>
          <w:p w14:paraId="4AFC2892" w14:textId="77777777" w:rsidR="006C20D4" w:rsidRDefault="006C20D4" w:rsidP="006C20D4">
            <w:pPr>
              <w:snapToGrid w:val="0"/>
              <w:rPr>
                <w:rFonts w:eastAsia="等线"/>
                <w:color w:val="0000FF"/>
                <w:sz w:val="18"/>
                <w:szCs w:val="18"/>
                <w:lang w:eastAsia="zh-CN"/>
              </w:rPr>
            </w:pPr>
            <w:r>
              <w:rPr>
                <w:rFonts w:eastAsia="等线"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等线"/>
                <w:color w:val="0000FF"/>
                <w:sz w:val="18"/>
                <w:szCs w:val="18"/>
                <w:lang w:eastAsia="zh-CN"/>
              </w:rPr>
            </w:pPr>
          </w:p>
          <w:p w14:paraId="02DCA188" w14:textId="77777777" w:rsidR="006C20D4" w:rsidRDefault="006C20D4" w:rsidP="006C20D4">
            <w:pPr>
              <w:snapToGrid w:val="0"/>
              <w:rPr>
                <w:rFonts w:eastAsia="等线"/>
                <w:sz w:val="18"/>
                <w:szCs w:val="18"/>
                <w:lang w:eastAsia="zh-CN"/>
              </w:rPr>
            </w:pPr>
            <w:r>
              <w:rPr>
                <w:rFonts w:eastAsia="等线"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宋体"/>
                <w:sz w:val="20"/>
                <w:szCs w:val="20"/>
                <w:lang w:eastAsia="zh-CN"/>
              </w:rPr>
            </w:pPr>
            <w:r>
              <w:rPr>
                <w:rFonts w:eastAsia="宋体"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等线"/>
                <w:sz w:val="20"/>
                <w:szCs w:val="20"/>
                <w:lang w:eastAsia="zh-CN"/>
              </w:rPr>
            </w:pPr>
            <w:r>
              <w:rPr>
                <w:rFonts w:eastAsia="等线"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4BC08FFE" w14:textId="3363C322" w:rsidR="00982428"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47A7C9C9"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36ECF112" w14:textId="1F29B26E" w:rsidR="00D20D1A" w:rsidRPr="00D20D1A" w:rsidRDefault="00D20D1A" w:rsidP="006C20D4">
            <w:pPr>
              <w:snapToGrid w:val="0"/>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 No need for further discussion per RAN1#110 agreement.</w:t>
            </w:r>
          </w:p>
        </w:tc>
      </w:tr>
      <w:tr w:rsidR="006C20D4" w14:paraId="0A5999B3" w14:textId="77777777">
        <w:trPr>
          <w:trHeight w:val="126"/>
        </w:trPr>
        <w:tc>
          <w:tcPr>
            <w:tcW w:w="723" w:type="dxa"/>
          </w:tcPr>
          <w:p w14:paraId="19A8051F" w14:textId="77777777" w:rsidR="006C20D4" w:rsidRDefault="006C20D4" w:rsidP="006C20D4">
            <w:pPr>
              <w:snapToGrid w:val="0"/>
              <w:rPr>
                <w:rFonts w:eastAsia="宋体"/>
                <w:sz w:val="18"/>
                <w:szCs w:val="18"/>
                <w:lang w:eastAsia="zh-CN"/>
              </w:rPr>
            </w:pPr>
            <w:r>
              <w:rPr>
                <w:rFonts w:eastAsia="宋体" w:hint="eastAsia"/>
                <w:sz w:val="18"/>
                <w:szCs w:val="18"/>
                <w:lang w:eastAsia="zh-CN"/>
              </w:rPr>
              <w:lastRenderedPageBreak/>
              <w:t>3</w:t>
            </w:r>
          </w:p>
        </w:tc>
        <w:tc>
          <w:tcPr>
            <w:tcW w:w="5495" w:type="dxa"/>
          </w:tcPr>
          <w:p w14:paraId="5DD940F7" w14:textId="77777777" w:rsidR="006C20D4" w:rsidRDefault="006C20D4" w:rsidP="006C20D4">
            <w:pPr>
              <w:snapToGrid w:val="0"/>
              <w:rPr>
                <w:rFonts w:eastAsia="等线"/>
                <w:b/>
                <w:bCs/>
                <w:sz w:val="18"/>
                <w:szCs w:val="18"/>
                <w:lang w:eastAsia="zh-CN"/>
              </w:rPr>
            </w:pPr>
            <w:r>
              <w:rPr>
                <w:rFonts w:eastAsia="等线"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宋体"/>
                <w:kern w:val="32"/>
                <w:sz w:val="18"/>
                <w:szCs w:val="18"/>
                <w:lang w:eastAsia="zh-CN"/>
              </w:rPr>
            </w:pPr>
            <w:r>
              <w:rPr>
                <w:rFonts w:eastAsia="宋体"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等线"/>
                <w:sz w:val="18"/>
                <w:szCs w:val="18"/>
                <w:lang w:eastAsia="zh-CN"/>
              </w:rPr>
            </w:pPr>
          </w:p>
          <w:p w14:paraId="1536D33A" w14:textId="77777777" w:rsidR="006C20D4" w:rsidRDefault="006C20D4" w:rsidP="006C20D4">
            <w:pPr>
              <w:snapToGrid w:val="0"/>
              <w:rPr>
                <w:rFonts w:eastAsia="等线"/>
                <w:color w:val="0000FF"/>
                <w:sz w:val="18"/>
                <w:szCs w:val="18"/>
                <w:lang w:eastAsia="zh-CN"/>
              </w:rPr>
            </w:pPr>
            <w:r>
              <w:rPr>
                <w:rFonts w:eastAsia="等线"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等线"/>
                <w:color w:val="0000FF"/>
                <w:sz w:val="18"/>
                <w:szCs w:val="18"/>
                <w:lang w:eastAsia="zh-CN"/>
              </w:rPr>
            </w:pPr>
          </w:p>
          <w:p w14:paraId="2F9FD3DE" w14:textId="77777777" w:rsidR="006C20D4" w:rsidRDefault="006C20D4" w:rsidP="006C20D4">
            <w:pPr>
              <w:snapToGrid w:val="0"/>
              <w:rPr>
                <w:rFonts w:eastAsia="等线"/>
                <w:sz w:val="18"/>
                <w:szCs w:val="18"/>
                <w:lang w:eastAsia="zh-CN"/>
              </w:rPr>
            </w:pPr>
            <w:r>
              <w:rPr>
                <w:rFonts w:eastAsia="等线"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宋体"/>
                <w:sz w:val="20"/>
                <w:szCs w:val="20"/>
                <w:lang w:eastAsia="zh-CN"/>
              </w:rPr>
            </w:pPr>
            <w:r>
              <w:rPr>
                <w:rFonts w:eastAsia="宋体" w:hint="eastAsia"/>
                <w:sz w:val="20"/>
                <w:szCs w:val="20"/>
                <w:lang w:eastAsia="zh-CN"/>
              </w:rPr>
              <w:t>Nokia</w:t>
            </w:r>
          </w:p>
        </w:tc>
        <w:tc>
          <w:tcPr>
            <w:tcW w:w="1089" w:type="dxa"/>
          </w:tcPr>
          <w:p w14:paraId="1FC10A50" w14:textId="77777777" w:rsidR="006C20D4" w:rsidRDefault="006C20D4" w:rsidP="006C20D4">
            <w:pPr>
              <w:snapToGrid w:val="0"/>
              <w:rPr>
                <w:rFonts w:eastAsia="等线"/>
                <w:sz w:val="20"/>
                <w:szCs w:val="20"/>
                <w:lang w:eastAsia="zh-CN"/>
              </w:rPr>
            </w:pPr>
            <w:r>
              <w:rPr>
                <w:rFonts w:eastAsia="等线"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0CF61E1D" w14:textId="77777777" w:rsidR="00D14E57"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3C86C1F5" w14:textId="77777777" w:rsidR="00982428" w:rsidRDefault="00982428" w:rsidP="006C20D4">
            <w:pPr>
              <w:snapToGrid w:val="0"/>
              <w:rPr>
                <w:sz w:val="18"/>
                <w:szCs w:val="18"/>
              </w:rPr>
            </w:pPr>
          </w:p>
          <w:p w14:paraId="586DE8A2"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27474555" w14:textId="77777777" w:rsidR="00D20D1A" w:rsidRDefault="00D20D1A" w:rsidP="006C20D4">
            <w:pPr>
              <w:snapToGrid w:val="0"/>
              <w:rPr>
                <w:sz w:val="18"/>
                <w:szCs w:val="18"/>
              </w:rPr>
            </w:pPr>
          </w:p>
          <w:p w14:paraId="4BB56E69" w14:textId="2CE41EF4" w:rsidR="00D20D1A" w:rsidRPr="00D20D1A" w:rsidRDefault="00D20D1A" w:rsidP="006C20D4">
            <w:pPr>
              <w:snapToGrid w:val="0"/>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sz w:val="18"/>
                <w:szCs w:val="18"/>
                <w:lang w:eastAsia="zh-CN"/>
              </w:rPr>
              <w:t>No need for further discussion per RAN1#110 agreement.</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afff2"/>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afff2"/>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lastRenderedPageBreak/>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afff2"/>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2"/>
      <w:r>
        <w:commentReference w:id="2"/>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宋体"/>
                <w:sz w:val="20"/>
                <w:szCs w:val="20"/>
                <w:lang w:eastAsia="zh-CN"/>
              </w:rPr>
            </w:pPr>
            <w:r>
              <w:rPr>
                <w:rFonts w:eastAsia="宋体"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宋体"/>
                <w:sz w:val="20"/>
                <w:szCs w:val="20"/>
                <w:lang w:eastAsia="zh-CN"/>
              </w:rPr>
            </w:pPr>
            <w:r>
              <w:rPr>
                <w:rFonts w:eastAsia="宋体"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宋体"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宋体"/>
                <w:sz w:val="20"/>
                <w:szCs w:val="20"/>
                <w:lang w:eastAsia="zh-CN"/>
              </w:rPr>
            </w:pPr>
            <w:r>
              <w:rPr>
                <w:rFonts w:eastAsia="宋体"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宋体"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宋体"/>
                <w:sz w:val="20"/>
                <w:szCs w:val="20"/>
                <w:lang w:eastAsia="zh-CN"/>
              </w:rPr>
            </w:pPr>
            <w:r>
              <w:rPr>
                <w:rFonts w:eastAsia="宋体" w:hint="eastAsia"/>
                <w:sz w:val="20"/>
                <w:szCs w:val="20"/>
                <w:lang w:eastAsia="zh-CN"/>
              </w:rPr>
              <w:fldChar w:fldCharType="begin"/>
            </w:r>
            <w:r>
              <w:rPr>
                <w:rFonts w:eastAsia="宋体" w:hint="eastAsia"/>
                <w:sz w:val="20"/>
                <w:szCs w:val="20"/>
                <w:lang w:eastAsia="zh-CN"/>
              </w:rPr>
              <w:instrText xml:space="preserve"> DOCPROPERTY  SourceIfWg  \* MERGEFORMAT </w:instrText>
            </w:r>
            <w:r>
              <w:rPr>
                <w:rFonts w:eastAsia="宋体" w:hint="eastAsia"/>
                <w:sz w:val="20"/>
                <w:szCs w:val="20"/>
                <w:lang w:eastAsia="zh-CN"/>
              </w:rPr>
              <w:fldChar w:fldCharType="separate"/>
            </w:r>
            <w:r>
              <w:rPr>
                <w:rFonts w:eastAsia="宋体" w:hint="eastAsia"/>
                <w:sz w:val="20"/>
                <w:szCs w:val="20"/>
                <w:lang w:eastAsia="zh-CN"/>
              </w:rPr>
              <w:t>Nokia, Nokia Shanghai Bell</w:t>
            </w:r>
            <w:r>
              <w:rPr>
                <w:rFonts w:eastAsia="宋体"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72AE2CD6" w14:textId="77777777" w:rsidR="007B4147" w:rsidRDefault="007E0101">
      <w:pPr>
        <w:pStyle w:val="ad"/>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288C" w14:textId="77777777" w:rsidR="006A7386" w:rsidRDefault="006A7386" w:rsidP="006C20D4">
      <w:pPr>
        <w:spacing w:after="0" w:line="240" w:lineRule="auto"/>
      </w:pPr>
      <w:r>
        <w:separator/>
      </w:r>
    </w:p>
  </w:endnote>
  <w:endnote w:type="continuationSeparator" w:id="0">
    <w:p w14:paraId="55E19B90" w14:textId="77777777" w:rsidR="006A7386" w:rsidRDefault="006A7386"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830D" w14:textId="77777777" w:rsidR="006A7386" w:rsidRDefault="006A7386" w:rsidP="006C20D4">
      <w:pPr>
        <w:spacing w:after="0" w:line="240" w:lineRule="auto"/>
      </w:pPr>
      <w:r>
        <w:separator/>
      </w:r>
    </w:p>
  </w:footnote>
  <w:footnote w:type="continuationSeparator" w:id="0">
    <w:p w14:paraId="2CD56017" w14:textId="77777777" w:rsidR="006A7386" w:rsidRDefault="006A7386"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5410</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Bingchao BC2 Liu</cp:lastModifiedBy>
  <cp:revision>2</cp:revision>
  <dcterms:created xsi:type="dcterms:W3CDTF">2022-10-10T13:57:00Z</dcterms:created>
  <dcterms:modified xsi:type="dcterms:W3CDTF">2022-10-10T13:57:00Z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