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proofErr w:type="spellStart"/>
            <w:r>
              <w:rPr>
                <w:rFonts w:eastAsia="DengXian"/>
                <w:sz w:val="20"/>
                <w:szCs w:val="20"/>
                <w:lang w:eastAsia="zh-CN"/>
              </w:rPr>
              <w:t>Spreadtrum</w:t>
            </w:r>
            <w:proofErr w:type="spellEnd"/>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Pr>
                <w:rFonts w:eastAsia="DengXian"/>
                <w:i/>
                <w:iCs/>
                <w:sz w:val="18"/>
                <w:szCs w:val="18"/>
                <w:lang w:eastAsia="zh-CN"/>
              </w:rPr>
              <w:t>pathlossReferenceRS</w:t>
            </w:r>
            <w:proofErr w:type="spellEnd"/>
            <w:r>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Pr>
                <w:rFonts w:eastAsia="DengXian"/>
                <w:i/>
                <w:iCs/>
                <w:sz w:val="18"/>
                <w:szCs w:val="18"/>
                <w:lang w:eastAsia="zh-CN"/>
              </w:rPr>
              <w:t>TCIState</w:t>
            </w:r>
            <w:proofErr w:type="spellEnd"/>
            <w:r>
              <w:rPr>
                <w:rFonts w:eastAsia="DengXian"/>
                <w:sz w:val="18"/>
                <w:szCs w:val="18"/>
                <w:lang w:eastAsia="zh-CN"/>
              </w:rPr>
              <w:t xml:space="preserve"> or </w:t>
            </w:r>
            <w:r>
              <w:rPr>
                <w:rFonts w:eastAsia="DengXian"/>
                <w:i/>
                <w:iCs/>
                <w:sz w:val="18"/>
                <w:szCs w:val="18"/>
                <w:lang w:eastAsia="zh-CN"/>
              </w:rPr>
              <w:t>UL-</w:t>
            </w:r>
            <w:proofErr w:type="spellStart"/>
            <w:r>
              <w:rPr>
                <w:rFonts w:eastAsia="DengXian"/>
                <w:i/>
                <w:iCs/>
                <w:sz w:val="18"/>
                <w:szCs w:val="18"/>
                <w:lang w:eastAsia="zh-CN"/>
              </w:rPr>
              <w:t>TCIstate</w:t>
            </w:r>
            <w:proofErr w:type="spellEnd"/>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PUSCH/PUCCH/SRS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pathlossReferenceRS-Id-r17          PUSCH-</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w:t>
            </w:r>
            <w:proofErr w:type="spellStart"/>
            <w:r>
              <w:rPr>
                <w:sz w:val="11"/>
              </w:rPr>
              <w:t>TCI-UL-State-Id-r17</w:t>
            </w:r>
            <w:proofErr w:type="spellEnd"/>
            <w:r>
              <w:rPr>
                <w:sz w:val="11"/>
              </w:rPr>
              <w:t>,</w:t>
            </w:r>
          </w:p>
          <w:p w14:paraId="7C813EAA" w14:textId="77777777" w:rsidR="009D2941" w:rsidRDefault="00AD5329">
            <w:pPr>
              <w:pStyle w:val="PL"/>
              <w:rPr>
                <w:color w:val="808080"/>
                <w:sz w:val="11"/>
              </w:rPr>
            </w:pPr>
            <w:r>
              <w:rPr>
                <w:sz w:val="11"/>
              </w:rPr>
              <w:t xml:space="preserve">    servingCellId-r17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14:paraId="054DEB49" w14:textId="77777777" w:rsidR="009D2941" w:rsidRDefault="00AD5329">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srs-r17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DengXian"/>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 xml:space="preserve">-Id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C5DD154" w14:textId="36347C27" w:rsidR="00964018" w:rsidRDefault="00964018">
            <w:pPr>
              <w:snapToGrid w:val="0"/>
              <w:rPr>
                <w:rFonts w:eastAsia="PMingLiU"/>
                <w:sz w:val="18"/>
                <w:szCs w:val="18"/>
                <w:lang w:eastAsia="zh-TW"/>
              </w:rPr>
            </w:pPr>
          </w:p>
          <w:p w14:paraId="168BB41F" w14:textId="77777777" w:rsidR="00964018" w:rsidRPr="00964018" w:rsidRDefault="00964018">
            <w:pPr>
              <w:snapToGrid w:val="0"/>
              <w:rPr>
                <w:rFonts w:eastAsia="PMingLiU"/>
                <w:sz w:val="18"/>
                <w:szCs w:val="18"/>
                <w:lang w:eastAsia="zh-TW"/>
              </w:rPr>
            </w:pPr>
          </w:p>
          <w:p w14:paraId="0806680E" w14:textId="77777777" w:rsidR="00964018" w:rsidRPr="000833B8" w:rsidRDefault="00964018">
            <w:pPr>
              <w:snapToGrid w:val="0"/>
              <w:rPr>
                <w:rFonts w:eastAsia="DengXian"/>
                <w:sz w:val="18"/>
                <w:szCs w:val="18"/>
                <w:lang w:eastAsia="zh-CN"/>
              </w:rPr>
            </w:pPr>
          </w:p>
          <w:p w14:paraId="4E66682B" w14:textId="77777777" w:rsidR="009D2941" w:rsidRDefault="009D2941">
            <w:pPr>
              <w:snapToGrid w:val="0"/>
              <w:jc w:val="both"/>
              <w:rPr>
                <w:rFonts w:cs="Times"/>
                <w:sz w:val="14"/>
                <w:szCs w:val="10"/>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proofErr w:type="gramStart"/>
            <w:r>
              <w:rPr>
                <w:rFonts w:eastAsia="DengXian"/>
                <w:sz w:val="18"/>
                <w:szCs w:val="18"/>
                <w:lang w:eastAsia="zh-CN"/>
              </w:rPr>
              <w:t>’.Although</w:t>
            </w:r>
            <w:proofErr w:type="spellEnd"/>
            <w:proofErr w:type="gramEnd"/>
            <w:r>
              <w:rPr>
                <w:rFonts w:eastAsia="DengXian"/>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174D768B"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77777777" w:rsidR="00964018" w:rsidRDefault="00964018">
            <w:pPr>
              <w:snapToGrid w:val="0"/>
              <w:jc w:val="both"/>
              <w:rPr>
                <w:rFonts w:eastAsia="PMingLiU"/>
                <w:sz w:val="18"/>
                <w:szCs w:val="18"/>
                <w:lang w:eastAsia="zh-TW"/>
              </w:rPr>
            </w:pPr>
          </w:p>
          <w:p w14:paraId="1B16C386" w14:textId="77777777" w:rsidR="00964018" w:rsidRDefault="00964018">
            <w:pPr>
              <w:snapToGrid w:val="0"/>
              <w:jc w:val="both"/>
              <w:rPr>
                <w:rFonts w:eastAsia="PMingLiU"/>
                <w:sz w:val="18"/>
                <w:szCs w:val="18"/>
                <w:lang w:eastAsia="zh-TW"/>
              </w:rPr>
            </w:pP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or non-</w:t>
            </w:r>
            <w:proofErr w:type="gramStart"/>
            <w:r>
              <w:rPr>
                <w:rFonts w:eastAsia="SimSun"/>
                <w:sz w:val="18"/>
                <w:szCs w:val="18"/>
                <w:lang w:val="en-GB" w:eastAsia="en-US"/>
              </w:rPr>
              <w:t>codebook based</w:t>
            </w:r>
            <w:proofErr w:type="gramEnd"/>
            <w:r>
              <w:rPr>
                <w:rFonts w:eastAsia="SimSun"/>
                <w:sz w:val="18"/>
                <w:szCs w:val="18"/>
                <w:lang w:val="en-GB" w:eastAsia="en-US"/>
              </w:rPr>
              <w:t xml:space="preserve">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w:t>
            </w:r>
            <w:proofErr w:type="spellStart"/>
            <w:r>
              <w:rPr>
                <w:rFonts w:eastAsia="DengXian"/>
                <w:color w:val="3333FF"/>
                <w:sz w:val="18"/>
                <w:szCs w:val="18"/>
                <w:lang w:eastAsia="zh-CN"/>
              </w:rPr>
              <w:t>gNB</w:t>
            </w:r>
            <w:proofErr w:type="spellEnd"/>
            <w:r>
              <w:rPr>
                <w:rFonts w:eastAsia="DengXian"/>
                <w:color w:val="3333FF"/>
                <w:sz w:val="18"/>
                <w:szCs w:val="18"/>
                <w:lang w:eastAsia="zh-CN"/>
              </w:rPr>
              <w:t xml:space="preserve">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4B5F95FD"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DengXian"/>
                <w:sz w:val="18"/>
                <w:szCs w:val="18"/>
                <w:lang w:eastAsia="zh-CN"/>
              </w:rPr>
              <w:t>nCB</w:t>
            </w:r>
            <w:proofErr w:type="spellEnd"/>
            <w:r>
              <w:rPr>
                <w:rFonts w:eastAsia="DengXian"/>
                <w:sz w:val="18"/>
                <w:szCs w:val="18"/>
                <w:lang w:eastAsia="zh-CN"/>
              </w:rPr>
              <w:t xml:space="preserve"> with both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i/>
                <w:iCs/>
                <w:sz w:val="18"/>
                <w:szCs w:val="18"/>
                <w:lang w:val="en-GB" w:eastAsia="en-US"/>
              </w:rPr>
              <w:t xml:space="preserve"> </w:t>
            </w:r>
            <w:r>
              <w:rPr>
                <w:rFonts w:eastAsia="SimSun"/>
                <w:sz w:val="18"/>
                <w:szCs w:val="18"/>
                <w:lang w:val="en-GB" w:eastAsia="en-US"/>
              </w:rPr>
              <w:t xml:space="preserve">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which may lead to </w:t>
            </w:r>
            <w:proofErr w:type="gramStart"/>
            <w:r>
              <w:rPr>
                <w:rFonts w:eastAsia="SimSun"/>
                <w:sz w:val="18"/>
                <w:szCs w:val="18"/>
                <w:lang w:val="en-GB" w:eastAsia="en-US"/>
              </w:rPr>
              <w:t>a</w:t>
            </w:r>
            <w:proofErr w:type="gramEnd"/>
            <w:r>
              <w:rPr>
                <w:rFonts w:eastAsia="SimSun"/>
                <w:sz w:val="18"/>
                <w:szCs w:val="18"/>
                <w:lang w:val="en-GB" w:eastAsia="en-US"/>
              </w:rPr>
              <w:t xml:space="preserve">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 xml:space="preserve">QC: Not critical. </w:t>
            </w:r>
            <w:proofErr w:type="spellStart"/>
            <w:r>
              <w:rPr>
                <w:rFonts w:eastAsia="PMingLiU"/>
                <w:sz w:val="18"/>
                <w:szCs w:val="18"/>
                <w:lang w:val="en-GB" w:eastAsia="zh-TW"/>
              </w:rPr>
              <w:t>gNB</w:t>
            </w:r>
            <w:proofErr w:type="spellEnd"/>
            <w:r>
              <w:rPr>
                <w:rFonts w:eastAsia="PMingLiU"/>
                <w:sz w:val="18"/>
                <w:szCs w:val="18"/>
                <w:lang w:val="en-GB" w:eastAsia="zh-TW"/>
              </w:rPr>
              <w:t xml:space="preserve">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Ericsson: this is editorial, and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2" w:name="OLE_LINK2"/>
            <w:r>
              <w:rPr>
                <w:rFonts w:eastAsia="DengXian"/>
                <w:sz w:val="18"/>
                <w:szCs w:val="18"/>
                <w:lang w:eastAsia="zh-CN"/>
              </w:rPr>
              <w:t xml:space="preserve">We share similar view with QC that </w:t>
            </w:r>
            <w:proofErr w:type="spellStart"/>
            <w:r w:rsidRPr="003F1BC1">
              <w:rPr>
                <w:rFonts w:eastAsia="DengXian"/>
                <w:sz w:val="18"/>
                <w:szCs w:val="18"/>
                <w:lang w:eastAsia="zh-CN"/>
              </w:rPr>
              <w:t>gNB</w:t>
            </w:r>
            <w:proofErr w:type="spellEnd"/>
            <w:r w:rsidRPr="003F1BC1">
              <w:rPr>
                <w:rFonts w:eastAsia="DengXian"/>
                <w:sz w:val="18"/>
                <w:szCs w:val="18"/>
                <w:lang w:eastAsia="zh-CN"/>
              </w:rPr>
              <w:t xml:space="preserve"> can handle the issue.</w:t>
            </w:r>
            <w:r>
              <w:rPr>
                <w:rFonts w:eastAsia="DengXian"/>
                <w:sz w:val="18"/>
                <w:szCs w:val="18"/>
                <w:lang w:eastAsia="zh-CN"/>
              </w:rPr>
              <w:t xml:space="preserve"> In FR2, the </w:t>
            </w:r>
            <w:proofErr w:type="spellStart"/>
            <w:r>
              <w:rPr>
                <w:rFonts w:eastAsia="DengXian" w:hint="eastAsia"/>
                <w:sz w:val="18"/>
                <w:szCs w:val="18"/>
                <w:lang w:eastAsia="zh-CN"/>
              </w:rPr>
              <w:t>g</w:t>
            </w:r>
            <w:r>
              <w:rPr>
                <w:rFonts w:eastAsia="DengXian"/>
                <w:sz w:val="18"/>
                <w:szCs w:val="18"/>
                <w:lang w:eastAsia="zh-CN"/>
              </w:rPr>
              <w:t>NB</w:t>
            </w:r>
            <w:proofErr w:type="spellEnd"/>
            <w:r>
              <w:rPr>
                <w:rFonts w:eastAsia="DengXian"/>
                <w:sz w:val="18"/>
                <w:szCs w:val="18"/>
                <w:lang w:eastAsia="zh-CN"/>
              </w:rPr>
              <w:t xml:space="preserve">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time, or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same spatial information. If only associated CSI-RS is configured, </w:t>
            </w:r>
            <w:r>
              <w:rPr>
                <w:rFonts w:eastAsia="DengXian"/>
                <w:sz w:val="18"/>
                <w:szCs w:val="18"/>
                <w:lang w:eastAsia="zh-CN"/>
              </w:rPr>
              <w:lastRenderedPageBreak/>
              <w:t xml:space="preserve">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2"/>
          </w:p>
          <w:p w14:paraId="0B3BCEB6" w14:textId="3ABD25CB" w:rsidR="00FA0C84" w:rsidRPr="00210C2D" w:rsidRDefault="00FA0C84">
            <w:pPr>
              <w:snapToGrid w:val="0"/>
              <w:jc w:val="both"/>
              <w:rPr>
                <w:rFonts w:eastAsia="DengXian"/>
                <w:sz w:val="18"/>
                <w:szCs w:val="18"/>
                <w:lang w:eastAsia="zh-CN"/>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proofErr w:type="spellStart"/>
            <w:r w:rsidR="00210C2D">
              <w:rPr>
                <w:rFonts w:eastAsia="SimSun"/>
                <w:i/>
                <w:iCs/>
                <w:sz w:val="18"/>
                <w:szCs w:val="18"/>
                <w:lang w:val="en-GB" w:eastAsia="en-US"/>
              </w:rPr>
              <w:t>associatedCSI</w:t>
            </w:r>
            <w:proofErr w:type="spellEnd"/>
            <w:r w:rsidR="00210C2D">
              <w:rPr>
                <w:rFonts w:eastAsia="SimSun"/>
                <w:i/>
                <w:iCs/>
                <w:sz w:val="18"/>
                <w:szCs w:val="18"/>
                <w:lang w:val="en-GB" w:eastAsia="en-US"/>
              </w:rPr>
              <w:t>-RS</w:t>
            </w:r>
            <w:r w:rsidR="00210C2D">
              <w:rPr>
                <w:rFonts w:eastAsia="SimSun"/>
                <w:i/>
                <w:iCs/>
                <w:sz w:val="18"/>
                <w:szCs w:val="18"/>
                <w:lang w:val="en-GB" w:eastAsia="en-US"/>
              </w:rPr>
              <w:t xml:space="preserve"> </w:t>
            </w:r>
            <w:r w:rsidR="00210C2D">
              <w:rPr>
                <w:rFonts w:eastAsia="SimSun"/>
                <w:iCs/>
                <w:sz w:val="18"/>
                <w:szCs w:val="18"/>
                <w:lang w:val="en-GB" w:eastAsia="en-US"/>
              </w:rPr>
              <w:t>is configured needs to be also discussed.</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6E88DB2C"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7ACB9A7F" w14:textId="238F2E02"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17B225BF"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proofErr w:type="spellStart"/>
            <w:r w:rsidRPr="003E0785">
              <w:rPr>
                <w:rFonts w:eastAsia="DengXian"/>
                <w:i/>
                <w:iCs/>
                <w:sz w:val="18"/>
                <w:szCs w:val="18"/>
                <w:lang w:eastAsia="zh-CN"/>
              </w:rPr>
              <w:t>DLorJoint-TCIState</w:t>
            </w:r>
            <w:proofErr w:type="spellEnd"/>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3B97B30F" w14:textId="513E06B0"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proofErr w:type="spellStart"/>
            <w:r>
              <w:rPr>
                <w:rFonts w:eastAsia="DengXian"/>
                <w:sz w:val="20"/>
                <w:szCs w:val="20"/>
                <w:lang w:eastAsia="zh-CN"/>
              </w:rPr>
              <w:t>Spreadtrum</w:t>
            </w:r>
            <w:proofErr w:type="spellEnd"/>
            <w:r>
              <w:rPr>
                <w:rFonts w:eastAsia="DengXian"/>
                <w:sz w:val="20"/>
                <w:szCs w:val="20"/>
                <w:lang w:eastAsia="zh-CN"/>
              </w:rPr>
              <w:t>, ZTE</w:t>
            </w:r>
          </w:p>
        </w:tc>
        <w:tc>
          <w:tcPr>
            <w:tcW w:w="1089" w:type="dxa"/>
          </w:tcPr>
          <w:p w14:paraId="1B13A536"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where the RS resource is either on serving cell c or, if provided, on a serving cell indicated by a value of </w:t>
            </w:r>
            <w:proofErr w:type="spellStart"/>
            <w:r>
              <w:rPr>
                <w:rFonts w:eastAsia="DengXian"/>
                <w:sz w:val="18"/>
                <w:szCs w:val="18"/>
                <w:lang w:eastAsia="zh-CN"/>
              </w:rPr>
              <w:t>pathlossReferenceLinking</w:t>
            </w:r>
            <w:proofErr w:type="spellEnd"/>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w:t>
            </w:r>
            <w:r>
              <w:rPr>
                <w:color w:val="000000" w:themeColor="text1"/>
                <w:sz w:val="18"/>
                <w:szCs w:val="18"/>
              </w:rPr>
              <w:lastRenderedPageBreak/>
              <w:t xml:space="preserve">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08252677" w14:textId="1992E0FE" w:rsidR="00586C65" w:rsidRDefault="00586C65">
            <w:pPr>
              <w:snapToGrid w:val="0"/>
              <w:jc w:val="both"/>
              <w:rPr>
                <w:rFonts w:eastAsia="DengXian"/>
                <w:sz w:val="18"/>
                <w:szCs w:val="18"/>
                <w:lang w:eastAsia="zh-CN"/>
              </w:rPr>
            </w:pPr>
            <w:r>
              <w:rPr>
                <w:rFonts w:eastAsia="PMingLiU"/>
                <w:sz w:val="18"/>
                <w:szCs w:val="18"/>
                <w:lang w:eastAsia="zh-TW"/>
              </w:rPr>
              <w:t>Huawei, HiSilicon: OK to discuss.</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3" w:name="OLE_LINK1"/>
            <w:r>
              <w:rPr>
                <w:rFonts w:hint="eastAsia"/>
                <w:iCs/>
                <w:sz w:val="16"/>
              </w:rPr>
              <w:t>P0AlphaSet-r</w:t>
            </w:r>
            <w:proofErr w:type="gramStart"/>
            <w:r>
              <w:rPr>
                <w:rFonts w:hint="eastAsia"/>
                <w:iCs/>
                <w:sz w:val="16"/>
              </w:rPr>
              <w:t>17</w:t>
            </w:r>
            <w:bookmarkEnd w:id="3"/>
            <w:r>
              <w:rPr>
                <w:rFonts w:hint="eastAsia"/>
                <w:iCs/>
                <w:sz w:val="16"/>
              </w:rPr>
              <w:t xml:space="preserve">  :</w:t>
            </w:r>
            <w:proofErr w:type="gramEnd"/>
            <w:r>
              <w:rPr>
                <w:rFonts w:hint="eastAsia"/>
                <w:iCs/>
                <w:sz w:val="16"/>
              </w:rPr>
              <w:t>:=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t>ZTE</w:t>
            </w:r>
          </w:p>
        </w:tc>
        <w:tc>
          <w:tcPr>
            <w:tcW w:w="1089" w:type="dxa"/>
          </w:tcPr>
          <w:p w14:paraId="52D2F5E9" w14:textId="2DBF79B8"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lastRenderedPageBreak/>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0230C783" w14:textId="759084C9" w:rsidR="0031647F" w:rsidRDefault="00586C65" w:rsidP="0031647F">
            <w:pPr>
              <w:snapToGrid w:val="0"/>
              <w:jc w:val="both"/>
              <w:rPr>
                <w:rFonts w:eastAsia="DengXian"/>
                <w:sz w:val="18"/>
                <w:szCs w:val="18"/>
                <w:lang w:eastAsia="zh-CN"/>
              </w:rPr>
            </w:pPr>
            <w:r>
              <w:rPr>
                <w:rFonts w:eastAsia="DengXian"/>
                <w:sz w:val="18"/>
                <w:szCs w:val="18"/>
                <w:lang w:eastAsia="zh-CN"/>
              </w:rPr>
              <w:t>Huawei, HiSilicon: OK to discuss.</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04C76F6A"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7209E516" w14:textId="461D605F"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7EF238E8"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Ericsson: Not needed. Note that the PDSCH-Config is inside a BWP. Also, the list provided can actually provide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62A9A50" w14:textId="7AA38DDF"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w:t>
            </w:r>
            <w:r>
              <w:rPr>
                <w:i/>
                <w:iCs/>
                <w:sz w:val="18"/>
              </w:rPr>
              <w:lastRenderedPageBreak/>
              <w:t>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lastRenderedPageBreak/>
              <w:t>Google</w:t>
            </w:r>
          </w:p>
        </w:tc>
        <w:tc>
          <w:tcPr>
            <w:tcW w:w="1089" w:type="dxa"/>
          </w:tcPr>
          <w:p w14:paraId="7F1BA6C4"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lastRenderedPageBreak/>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71A70B38" w14:textId="69602680"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A1E535A" w14:textId="77777777" w:rsidR="0031647F" w:rsidRDefault="0031647F" w:rsidP="0031647F">
            <w:pPr>
              <w:snapToGrid w:val="0"/>
              <w:jc w:val="both"/>
              <w:rPr>
                <w:rFonts w:eastAsia="DengXian"/>
                <w:sz w:val="20"/>
                <w:szCs w:val="20"/>
                <w:lang w:eastAsia="zh-CN"/>
              </w:rPr>
            </w:pPr>
            <w:r>
              <w:rPr>
                <w:sz w:val="20"/>
                <w:szCs w:val="20"/>
              </w:rPr>
              <w:t>N</w:t>
            </w:r>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708124D5" w:rsidR="00455C77" w:rsidRDefault="00455C77" w:rsidP="0031647F">
            <w:pPr>
              <w:snapToGrid w:val="0"/>
              <w:jc w:val="both"/>
              <w:rPr>
                <w:rFonts w:eastAsia="PMingLiU"/>
                <w:sz w:val="18"/>
                <w:szCs w:val="18"/>
                <w:lang w:eastAsia="zh-TW"/>
              </w:rPr>
            </w:pPr>
            <w:r>
              <w:rPr>
                <w:rFonts w:eastAsia="DengXian"/>
                <w:sz w:val="18"/>
                <w:szCs w:val="18"/>
                <w:lang w:eastAsia="zh-CN"/>
              </w:rPr>
              <w:t>Huawei, HiSilicon: OK to discuss.</w:t>
            </w: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DengXian"/>
                <w:sz w:val="18"/>
                <w:szCs w:val="18"/>
                <w:lang w:eastAsia="zh-CN"/>
              </w:rPr>
              <w:t>SRI.(</w:t>
            </w:r>
            <w:proofErr w:type="gramEnd"/>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6464B3C8"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31E02C11" w:rsidR="0031647F" w:rsidRDefault="00455C77" w:rsidP="0031647F">
            <w:pPr>
              <w:snapToGrid w:val="0"/>
              <w:jc w:val="both"/>
              <w:rPr>
                <w:rFonts w:eastAsia="PMingLiU"/>
                <w:sz w:val="18"/>
                <w:szCs w:val="18"/>
                <w:lang w:eastAsia="zh-TW"/>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to be always 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CG PUSCH transmission, #2 ul-</w:t>
            </w:r>
            <w:proofErr w:type="spellStart"/>
            <w:r>
              <w:rPr>
                <w:rFonts w:eastAsia="DengXian"/>
                <w:sz w:val="18"/>
                <w:szCs w:val="18"/>
                <w:lang w:eastAsia="zh-CN"/>
              </w:rPr>
              <w:t>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used, in case that ul-</w:t>
            </w:r>
            <w:proofErr w:type="spellStart"/>
            <w:r>
              <w:rPr>
                <w:rFonts w:eastAsia="DengXian"/>
                <w:sz w:val="18"/>
                <w:szCs w:val="18"/>
                <w:lang w:eastAsia="zh-CN"/>
              </w:rPr>
              <w:t>powerControl</w:t>
            </w:r>
            <w:proofErr w:type="spellEnd"/>
            <w:r>
              <w:rPr>
                <w:rFonts w:eastAsia="DengXian"/>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w:t>
            </w:r>
            <w:r>
              <w:rPr>
                <w:rFonts w:eastAsia="DengXian"/>
                <w:color w:val="3333FF"/>
                <w:sz w:val="18"/>
                <w:szCs w:val="18"/>
                <w:lang w:eastAsia="zh-CN"/>
              </w:rPr>
              <w:lastRenderedPageBreak/>
              <w:t>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lastRenderedPageBreak/>
              <w:t>Huawei</w:t>
            </w:r>
          </w:p>
        </w:tc>
        <w:tc>
          <w:tcPr>
            <w:tcW w:w="1089" w:type="dxa"/>
          </w:tcPr>
          <w:p w14:paraId="17EF4183"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w:t>
            </w:r>
            <w:proofErr w:type="spellStart"/>
            <w:r>
              <w:rPr>
                <w:rFonts w:eastAsia="PMingLiU"/>
                <w:sz w:val="18"/>
                <w:szCs w:val="18"/>
                <w:lang w:eastAsia="zh-TW"/>
              </w:rPr>
              <w:t>gNB</w:t>
            </w:r>
            <w:proofErr w:type="spellEnd"/>
            <w:r>
              <w:rPr>
                <w:rFonts w:eastAsia="PMingLiU"/>
                <w:sz w:val="18"/>
                <w:szCs w:val="18"/>
                <w:lang w:eastAsia="zh-TW"/>
              </w:rPr>
              <w:t xml:space="preserve"> can choose PC parameters accordingly if CG is URLLC. The case with both URLLC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lastRenderedPageBreak/>
              <w:t>Huawei</w:t>
            </w:r>
            <w:r>
              <w:rPr>
                <w:rFonts w:eastAsia="PMingLiU"/>
                <w:sz w:val="18"/>
                <w:szCs w:val="18"/>
                <w:lang w:eastAsia="zh-TW"/>
              </w:rPr>
              <w:t>, HiSilicon</w:t>
            </w:r>
            <w:r>
              <w:rPr>
                <w:rFonts w:eastAsia="PMingLiU"/>
                <w:sz w:val="18"/>
                <w:szCs w:val="18"/>
                <w:lang w:eastAsia="zh-TW"/>
              </w:rPr>
              <w:t xml:space="preserve">: </w:t>
            </w:r>
            <w:r>
              <w:rPr>
                <w:rFonts w:eastAsia="PMingLiU"/>
                <w:sz w:val="18"/>
                <w:szCs w:val="18"/>
                <w:lang w:eastAsia="zh-TW"/>
              </w:rPr>
              <w:t>Support to discuss.</w:t>
            </w:r>
          </w:p>
          <w:p w14:paraId="7E4F671B" w14:textId="77777777" w:rsidR="00CC5864" w:rsidRDefault="00CC5864" w:rsidP="00CC5864">
            <w:pPr>
              <w:snapToGrid w:val="0"/>
              <w:jc w:val="both"/>
              <w:rPr>
                <w:rFonts w:eastAsia="PMingLiU"/>
                <w:sz w:val="18"/>
                <w:szCs w:val="18"/>
                <w:lang w:eastAsia="zh-TW"/>
              </w:rPr>
            </w:pPr>
          </w:p>
          <w:p w14:paraId="6A709F78" w14:textId="6DD32876"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w:t>
            </w:r>
            <w:r>
              <w:rPr>
                <w:rFonts w:eastAsia="PMingLiU"/>
                <w:sz w:val="18"/>
                <w:szCs w:val="18"/>
                <w:lang w:eastAsia="zh-TW"/>
              </w:rPr>
              <w:t xml:space="preserve">current 38.331, </w:t>
            </w:r>
            <w:r w:rsidRPr="00CB7E67">
              <w:rPr>
                <w:rFonts w:eastAsia="PMingLiU"/>
                <w:sz w:val="18"/>
                <w:szCs w:val="18"/>
                <w:lang w:eastAsia="zh-TW"/>
              </w:rPr>
              <w:t>p0-PUSCH-Alpha</w:t>
            </w:r>
            <w:r>
              <w:rPr>
                <w:rFonts w:eastAsia="PMingLiU"/>
                <w:sz w:val="18"/>
                <w:szCs w:val="18"/>
                <w:lang w:eastAsia="zh-TW"/>
              </w:rPr>
              <w:t xml:space="preserve"> is mandatory present in </w:t>
            </w:r>
            <w:proofErr w:type="spellStart"/>
            <w:r w:rsidRPr="00CB7E67">
              <w:rPr>
                <w:rFonts w:eastAsia="PMingLiU"/>
                <w:sz w:val="18"/>
                <w:szCs w:val="18"/>
                <w:lang w:eastAsia="zh-TW"/>
              </w:rPr>
              <w:t>ConfiguredGrantConfig</w:t>
            </w:r>
            <w:proofErr w:type="spellEnd"/>
            <w:r>
              <w:rPr>
                <w:rFonts w:eastAsia="PMingLiU"/>
                <w:sz w:val="18"/>
                <w:szCs w:val="18"/>
                <w:lang w:eastAsia="zh-TW"/>
              </w:rPr>
              <w:t xml:space="preserve">. </w:t>
            </w:r>
            <w:r>
              <w:rPr>
                <w:rFonts w:eastAsia="PMingLiU"/>
                <w:sz w:val="18"/>
                <w:szCs w:val="18"/>
                <w:lang w:eastAsia="zh-TW"/>
              </w:rPr>
              <w:t xml:space="preserve">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w:t>
            </w:r>
            <w:r>
              <w:rPr>
                <w:rFonts w:eastAsia="PMingLiU"/>
                <w:sz w:val="18"/>
                <w:szCs w:val="18"/>
                <w:lang w:eastAsia="zh-TW"/>
              </w:rPr>
              <w:t>?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w:t>
            </w:r>
            <w:r>
              <w:rPr>
                <w:rFonts w:eastAsia="PMingLiU"/>
                <w:sz w:val="18"/>
                <w:szCs w:val="18"/>
                <w:lang w:eastAsia="zh-TW"/>
              </w:rPr>
              <w:t xml:space="preserve">nd </w:t>
            </w:r>
            <w:r w:rsidR="005862E3">
              <w:rPr>
                <w:rFonts w:eastAsia="PMingLiU"/>
                <w:sz w:val="18"/>
                <w:szCs w:val="18"/>
                <w:lang w:eastAsia="zh-TW"/>
              </w:rPr>
              <w:t xml:space="preserve">is </w:t>
            </w:r>
            <w:r>
              <w:rPr>
                <w:rFonts w:eastAsia="PMingLiU"/>
                <w:sz w:val="18"/>
                <w:szCs w:val="18"/>
                <w:lang w:eastAsia="zh-TW"/>
              </w:rPr>
              <w:t xml:space="preserve">related to PC in R18 UTCI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2D932191" w14:textId="4CA8D623" w:rsidR="003315B9" w:rsidRDefault="003315B9" w:rsidP="0031647F">
            <w:pPr>
              <w:snapToGrid w:val="0"/>
              <w:jc w:val="both"/>
              <w:rPr>
                <w:rFonts w:eastAsia="PMingLiU"/>
                <w:sz w:val="18"/>
                <w:szCs w:val="18"/>
                <w:lang w:eastAsia="zh-TW"/>
              </w:rPr>
            </w:pP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5DF84CA2"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FDB21B2" w14:textId="15C17851" w:rsidR="005862E3" w:rsidRDefault="005862E3" w:rsidP="0031647F">
            <w:pPr>
              <w:snapToGrid w:val="0"/>
              <w:jc w:val="both"/>
              <w:rPr>
                <w:rFonts w:eastAsia="PMingLiU"/>
                <w:sz w:val="18"/>
                <w:szCs w:val="18"/>
                <w:lang w:eastAsia="zh-TW"/>
              </w:rPr>
            </w:pPr>
            <w:r>
              <w:rPr>
                <w:rFonts w:eastAsia="PMingLiU"/>
                <w:sz w:val="18"/>
                <w:szCs w:val="18"/>
                <w:lang w:eastAsia="zh-TW"/>
              </w:rPr>
              <w:t>Huawei</w:t>
            </w:r>
            <w:r>
              <w:rPr>
                <w:rFonts w:eastAsia="PMingLiU"/>
                <w:sz w:val="18"/>
                <w:szCs w:val="18"/>
                <w:lang w:eastAsia="zh-TW"/>
              </w:rPr>
              <w:t>, HiSilicon</w:t>
            </w:r>
            <w:r>
              <w:rPr>
                <w:rFonts w:eastAsia="PMingLiU"/>
                <w:sz w:val="18"/>
                <w:szCs w:val="18"/>
                <w:lang w:eastAsia="zh-TW"/>
              </w:rPr>
              <w:t>: Fine to dis</w:t>
            </w:r>
            <w:r>
              <w:rPr>
                <w:rFonts w:eastAsia="PMingLiU"/>
                <w:sz w:val="18"/>
                <w:szCs w:val="18"/>
                <w:lang w:eastAsia="zh-TW"/>
              </w:rPr>
              <w:t>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168AA2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w:t>
            </w:r>
            <w:proofErr w:type="spellStart"/>
            <w:r>
              <w:rPr>
                <w:rFonts w:eastAsia="DengXian"/>
                <w:sz w:val="18"/>
                <w:szCs w:val="18"/>
                <w:lang w:eastAsia="zh-CN"/>
              </w:rPr>
              <w:t>gNB</w:t>
            </w:r>
            <w:proofErr w:type="spellEnd"/>
            <w:r>
              <w:rPr>
                <w:rFonts w:eastAsia="DengXian"/>
                <w:sz w:val="18"/>
                <w:szCs w:val="18"/>
                <w:lang w:eastAsia="zh-CN"/>
              </w:rPr>
              <w:t xml:space="preserve">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7D3F171B"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Pr>
                <w:rFonts w:eastAsia="DengXian"/>
                <w:sz w:val="18"/>
                <w:szCs w:val="18"/>
                <w:lang w:eastAsia="zh-CN"/>
              </w:rPr>
              <w:t>, HiSilicon</w:t>
            </w:r>
            <w:r>
              <w:rPr>
                <w:rFonts w:eastAsia="DengXian"/>
                <w:sz w:val="18"/>
                <w:szCs w:val="18"/>
                <w:lang w:eastAsia="zh-CN"/>
              </w:rPr>
              <w:t>: Not critical,</w:t>
            </w:r>
            <w:r>
              <w:rPr>
                <w:rFonts w:eastAsia="DengXian"/>
                <w:sz w:val="18"/>
                <w:szCs w:val="18"/>
                <w:lang w:eastAsia="zh-CN"/>
              </w:rPr>
              <w:t xml:space="preserve"> it can be solved by NW implementation.</w:t>
            </w:r>
          </w:p>
          <w:p w14:paraId="11AB0457" w14:textId="77777777" w:rsidR="005862E3" w:rsidRDefault="005862E3" w:rsidP="0031647F">
            <w:pPr>
              <w:snapToGrid w:val="0"/>
              <w:jc w:val="both"/>
              <w:rPr>
                <w:rFonts w:eastAsia="DengXian"/>
                <w:sz w:val="18"/>
                <w:szCs w:val="18"/>
                <w:lang w:eastAsia="zh-CN"/>
              </w:rPr>
            </w:pPr>
          </w:p>
          <w:p w14:paraId="182D90CE" w14:textId="77777777" w:rsidR="0031647F" w:rsidRDefault="0031647F" w:rsidP="003164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1C4B0C7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If j&gt;1 and the UE is provided higher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l is the </w:t>
            </w:r>
            <w:proofErr w:type="spellStart"/>
            <w:r>
              <w:rPr>
                <w:rFonts w:eastAsia="DengXian"/>
                <w:sz w:val="14"/>
                <w:szCs w:val="14"/>
                <w:lang w:val="en-GB" w:eastAsia="en-US"/>
              </w:rPr>
              <w:t>sri</w:t>
            </w:r>
            <w:proofErr w:type="spellEnd"/>
            <w:r>
              <w:rPr>
                <w:rFonts w:eastAsia="DengXian"/>
                <w:sz w:val="14"/>
                <w:szCs w:val="14"/>
                <w:lang w:val="en-GB" w:eastAsia="en-US"/>
              </w:rPr>
              <w:t>-PUSCH-</w:t>
            </w:r>
            <w:proofErr w:type="spellStart"/>
            <w:r>
              <w:rPr>
                <w:rFonts w:eastAsia="DengXian"/>
                <w:sz w:val="14"/>
                <w:szCs w:val="14"/>
                <w:lang w:val="en-GB" w:eastAsia="en-US"/>
              </w:rPr>
              <w:t>ClosedLoopIndex</w:t>
            </w:r>
            <w:proofErr w:type="spellEnd"/>
            <w:r>
              <w:rPr>
                <w:rFonts w:eastAsia="DengXian"/>
                <w:sz w:val="14"/>
                <w:szCs w:val="14"/>
                <w:lang w:val="en-GB" w:eastAsia="en-US"/>
              </w:rPr>
              <w:t xml:space="preserve"> value(s) configured in any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71EA06AD"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uawei</w:t>
            </w:r>
            <w:r>
              <w:rPr>
                <w:rFonts w:eastAsia="DengXian"/>
                <w:sz w:val="18"/>
                <w:szCs w:val="18"/>
                <w:lang w:eastAsia="zh-CN"/>
              </w:rPr>
              <w:t>, HiSilicon</w:t>
            </w:r>
            <w:r>
              <w:rPr>
                <w:rFonts w:eastAsia="DengXian"/>
                <w:sz w:val="18"/>
                <w:szCs w:val="18"/>
                <w:lang w:eastAsia="zh-CN"/>
              </w:rPr>
              <w:t xml:space="preserve">: </w:t>
            </w:r>
            <w:r>
              <w:rPr>
                <w:rFonts w:eastAsia="Calibri"/>
                <w:sz w:val="18"/>
                <w:szCs w:val="18"/>
              </w:rPr>
              <w:t>Agree with FL’s assessment</w:t>
            </w:r>
            <w:r>
              <w:rPr>
                <w:rFonts w:eastAsia="Calibri"/>
                <w:sz w:val="18"/>
                <w:szCs w:val="18"/>
              </w:rPr>
              <w:t>. No need to discuss</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w:t>
            </w:r>
            <w:r>
              <w:rPr>
                <w:sz w:val="18"/>
                <w:szCs w:val="18"/>
              </w:rPr>
              <w:lastRenderedPageBreak/>
              <w:t xml:space="preserve">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55DCEFDF"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64ACEE48"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uawei</w:t>
            </w:r>
            <w:r>
              <w:rPr>
                <w:rFonts w:eastAsia="DengXian"/>
                <w:sz w:val="18"/>
                <w:szCs w:val="18"/>
                <w:lang w:eastAsia="zh-CN"/>
              </w:rPr>
              <w:t xml:space="preserve">, HiSilicon: </w:t>
            </w:r>
            <w:r>
              <w:rPr>
                <w:rFonts w:eastAsia="Calibri"/>
                <w:sz w:val="18"/>
                <w:szCs w:val="18"/>
              </w:rPr>
              <w:t xml:space="preserve">Agree with FL’s assessment. No need to </w:t>
            </w:r>
            <w:r>
              <w:rPr>
                <w:rFonts w:eastAsia="Calibri"/>
                <w:sz w:val="18"/>
                <w:szCs w:val="18"/>
              </w:rPr>
              <w:t>make any change.</w:t>
            </w:r>
          </w:p>
          <w:p w14:paraId="6A36697B" w14:textId="769B731E" w:rsidR="005862E3" w:rsidRDefault="005862E3" w:rsidP="0031647F">
            <w:pPr>
              <w:snapToGrid w:val="0"/>
              <w:jc w:val="both"/>
              <w:rPr>
                <w:rFonts w:eastAsia="PMingLiU"/>
                <w:sz w:val="18"/>
                <w:szCs w:val="18"/>
                <w:lang w:eastAsia="zh-TW"/>
              </w:rPr>
            </w:pP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4107E0ED"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4F6D3D49"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19D1EF64" w14:textId="593E3AAA" w:rsidR="005862E3" w:rsidRDefault="005862E3" w:rsidP="0031647F">
            <w:pPr>
              <w:snapToGrid w:val="0"/>
              <w:jc w:val="both"/>
              <w:rPr>
                <w:rFonts w:eastAsia="DengXian"/>
                <w:sz w:val="18"/>
                <w:szCs w:val="18"/>
                <w:lang w:eastAsia="zh-CN"/>
              </w:rPr>
            </w:pP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1A6F07AC"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D84637C" w14:textId="54A0A2E1" w:rsidR="005862E3" w:rsidRDefault="005862E3" w:rsidP="0031647F">
            <w:pPr>
              <w:snapToGrid w:val="0"/>
              <w:jc w:val="both"/>
              <w:rPr>
                <w:rFonts w:eastAsia="PMingLiU"/>
                <w:sz w:val="18"/>
                <w:szCs w:val="18"/>
                <w:lang w:eastAsia="zh-TW"/>
              </w:rPr>
            </w:pPr>
            <w:r>
              <w:rPr>
                <w:rFonts w:eastAsia="DengXian"/>
                <w:sz w:val="18"/>
                <w:szCs w:val="18"/>
                <w:lang w:eastAsia="zh-CN"/>
              </w:rPr>
              <w:t xml:space="preserve">Huawei, HiSilicon: </w:t>
            </w:r>
            <w:r>
              <w:rPr>
                <w:rFonts w:eastAsia="DengXian"/>
                <w:sz w:val="18"/>
                <w:szCs w:val="18"/>
                <w:lang w:eastAsia="zh-CN"/>
              </w:rPr>
              <w:t>Support</w:t>
            </w:r>
            <w:r>
              <w:rPr>
                <w:rFonts w:eastAsia="DengXian"/>
                <w:sz w:val="18"/>
                <w:szCs w:val="18"/>
                <w:lang w:eastAsia="zh-CN"/>
              </w:rPr>
              <w:t xml:space="preserve"> to discuss.</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559F1EAD" w14:textId="77777777" w:rsidR="0031647F" w:rsidRDefault="0031647F" w:rsidP="0031647F">
            <w:pPr>
              <w:snapToGrid w:val="0"/>
              <w:rPr>
                <w:rFonts w:eastAsia="DengXian"/>
                <w:color w:val="FF0000"/>
                <w:sz w:val="20"/>
                <w:szCs w:val="20"/>
                <w:lang w:eastAsia="zh-CN"/>
              </w:rPr>
            </w:pPr>
            <w:r>
              <w:rPr>
                <w:rFonts w:eastAsia="DengXian"/>
                <w:sz w:val="20"/>
                <w:szCs w:val="20"/>
                <w:lang w:eastAsia="zh-CN"/>
              </w:rPr>
              <w:t>N?</w:t>
            </w:r>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has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17E8DECC" w14:textId="391A49B7" w:rsidR="005862E3" w:rsidRPr="009E20A9" w:rsidRDefault="005862E3" w:rsidP="0031647F">
            <w:pPr>
              <w:snapToGrid w:val="0"/>
              <w:jc w:val="both"/>
              <w:rPr>
                <w:rFonts w:eastAsia="DengXian"/>
                <w:sz w:val="18"/>
                <w:szCs w:val="18"/>
                <w:lang w:eastAsia="zh-CN"/>
              </w:rPr>
            </w:pPr>
            <w:r>
              <w:rPr>
                <w:rFonts w:eastAsia="DengXian"/>
                <w:sz w:val="18"/>
                <w:szCs w:val="18"/>
                <w:lang w:eastAsia="zh-CN"/>
              </w:rPr>
              <w:t>Huawei, Hisilicon: Agree with FL. Not essential.</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lastRenderedPageBreak/>
              <w:t>vivo</w:t>
            </w:r>
          </w:p>
        </w:tc>
        <w:tc>
          <w:tcPr>
            <w:tcW w:w="1089" w:type="dxa"/>
          </w:tcPr>
          <w:p w14:paraId="7E83529D"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reply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02774C17" w:rsidR="00A16513" w:rsidRPr="0028488F"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7C264580" w14:textId="552FDE7F" w:rsidR="0031647F" w:rsidRDefault="0031647F" w:rsidP="0031647F">
            <w:pPr>
              <w:snapToGrid w:val="0"/>
              <w:jc w:val="both"/>
              <w:rPr>
                <w:rFonts w:eastAsia="PMingLiU"/>
                <w:sz w:val="18"/>
                <w:szCs w:val="18"/>
                <w:lang w:eastAsia="zh-TW"/>
              </w:rPr>
            </w:pP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035B7780" w14:textId="77777777" w:rsidR="0031647F" w:rsidRDefault="0031647F" w:rsidP="0031647F">
            <w:pPr>
              <w:snapToGrid w:val="0"/>
              <w:rPr>
                <w:sz w:val="20"/>
                <w:szCs w:val="20"/>
              </w:rPr>
            </w:pPr>
            <w:r>
              <w:rPr>
                <w:sz w:val="20"/>
                <w:szCs w:val="20"/>
              </w:rPr>
              <w:t>E</w:t>
            </w:r>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 xml:space="preserve">Ericsson: Agree with </w:t>
            </w:r>
            <w:proofErr w:type="spellStart"/>
            <w:r>
              <w:rPr>
                <w:rFonts w:eastAsia="PMingLiU"/>
                <w:sz w:val="18"/>
                <w:szCs w:val="18"/>
                <w:lang w:eastAsia="zh-TW"/>
              </w:rPr>
              <w:t>MTek</w:t>
            </w:r>
            <w:proofErr w:type="spellEnd"/>
            <w:r>
              <w:rPr>
                <w:rFonts w:eastAsia="PMingLiU"/>
                <w:sz w:val="18"/>
                <w:szCs w:val="18"/>
                <w:lang w:eastAsia="zh-TW"/>
              </w:rPr>
              <w:t>.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71CFD1AB"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0F6B8C57" w14:textId="3CE6CFBC" w:rsidR="0031647F" w:rsidRDefault="0031647F" w:rsidP="0031647F">
            <w:pPr>
              <w:snapToGrid w:val="0"/>
              <w:jc w:val="both"/>
              <w:rPr>
                <w:rFonts w:eastAsia="PMingLiU"/>
                <w:sz w:val="18"/>
                <w:szCs w:val="18"/>
                <w:lang w:eastAsia="zh-TW"/>
              </w:rPr>
            </w:pP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 xml:space="preserve">QC: Seems no issue. The current spec follows the following agreement (#107e), which does not differentiate intra or inter-cell BM. We think this should work. </w:t>
                  </w:r>
                  <w:proofErr w:type="spellStart"/>
                  <w:r>
                    <w:rPr>
                      <w:rFonts w:eastAsia="DengXian"/>
                      <w:sz w:val="18"/>
                      <w:szCs w:val="18"/>
                      <w:lang w:eastAsia="zh-CN"/>
                    </w:rPr>
                    <w:t>gNB</w:t>
                  </w:r>
                  <w:proofErr w:type="spellEnd"/>
                  <w:r>
                    <w:rPr>
                      <w:rFonts w:eastAsia="DengXian"/>
                      <w:sz w:val="18"/>
                      <w:szCs w:val="18"/>
                      <w:lang w:eastAsia="zh-CN"/>
                    </w:rPr>
                    <w:t xml:space="preserve">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w:t>
                  </w:r>
                  <w:proofErr w:type="gramStart"/>
                  <w:r>
                    <w:rPr>
                      <w:rFonts w:eastAsia="SimSun"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sure if it’s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4B6BA082" w14:textId="77777777" w:rsidR="0031647F" w:rsidRDefault="0031647F" w:rsidP="0031647F">
            <w:pPr>
              <w:snapToGrid w:val="0"/>
              <w:rPr>
                <w:sz w:val="20"/>
                <w:szCs w:val="20"/>
              </w:rPr>
            </w:pPr>
            <w:r>
              <w:rPr>
                <w:sz w:val="20"/>
                <w:szCs w:val="20"/>
              </w:rPr>
              <w:t>N</w:t>
            </w:r>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Not critical. </w:t>
            </w:r>
            <w:proofErr w:type="spellStart"/>
            <w:r>
              <w:rPr>
                <w:rFonts w:eastAsia="PMingLiU"/>
                <w:sz w:val="18"/>
                <w:szCs w:val="18"/>
                <w:lang w:eastAsia="zh-TW"/>
              </w:rPr>
              <w:t>gNB</w:t>
            </w:r>
            <w:proofErr w:type="spellEnd"/>
            <w:r>
              <w:rPr>
                <w:rFonts w:eastAsia="PMingLiU"/>
                <w:sz w:val="18"/>
                <w:szCs w:val="18"/>
                <w:lang w:eastAsia="zh-TW"/>
              </w:rPr>
              <w:t xml:space="preserve"> can avoid such issue</w:t>
            </w:r>
          </w:p>
          <w:p w14:paraId="43A7CEB1" w14:textId="77777777" w:rsidR="0031647F" w:rsidRDefault="0031647F" w:rsidP="0031647F">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Not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 xml:space="preserve">A UE is not required to monitor PDCCH candidates for a Type0/0A/1/2-PDCCH CSS set when the active TCI state for a </w:t>
            </w:r>
            <w:r w:rsidRPr="00D7097A">
              <w:rPr>
                <w:rFonts w:eastAsia="Yu Mincho"/>
                <w:sz w:val="18"/>
                <w:szCs w:val="18"/>
                <w:lang w:eastAsia="ja-JP"/>
              </w:rPr>
              <w:lastRenderedPageBreak/>
              <w:t xml:space="preserve">corresponding CORESET is not associated with </w:t>
            </w:r>
            <w:proofErr w:type="spellStart"/>
            <w:r w:rsidRPr="00D7097A">
              <w:rPr>
                <w:rFonts w:eastAsia="Yu Mincho"/>
                <w:sz w:val="18"/>
                <w:szCs w:val="18"/>
                <w:lang w:eastAsia="ja-JP"/>
              </w:rPr>
              <w:t>physCellId</w:t>
            </w:r>
            <w:proofErr w:type="spellEnd"/>
            <w:r w:rsidRPr="00D7097A">
              <w:rPr>
                <w:rFonts w:eastAsia="Yu Mincho"/>
                <w:sz w:val="18"/>
                <w:szCs w:val="18"/>
                <w:lang w:eastAsia="ja-JP"/>
              </w:rPr>
              <w:t xml:space="preserve"> in </w:t>
            </w:r>
            <w:proofErr w:type="spellStart"/>
            <w:r w:rsidRPr="00D7097A">
              <w:rPr>
                <w:rFonts w:eastAsia="Yu Mincho"/>
                <w:sz w:val="18"/>
                <w:szCs w:val="18"/>
                <w:lang w:eastAsia="ja-JP"/>
              </w:rPr>
              <w:t>ServingCellConfigCommon</w:t>
            </w:r>
            <w:proofErr w:type="spellEnd"/>
            <w:r w:rsidRPr="00D7097A">
              <w:rPr>
                <w:rFonts w:eastAsia="Yu Mincho"/>
                <w:sz w:val="18"/>
                <w:szCs w:val="18"/>
                <w:lang w:eastAsia="ja-JP"/>
              </w:rPr>
              <w:t>.</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37AD0037" w:rsidR="00A16513" w:rsidRDefault="00A16513" w:rsidP="0031647F">
            <w:pPr>
              <w:jc w:val="both"/>
              <w:rPr>
                <w:rFonts w:eastAsia="DengXian"/>
                <w:sz w:val="18"/>
                <w:szCs w:val="18"/>
                <w:lang w:eastAsia="zh-CN"/>
              </w:rPr>
            </w:pPr>
            <w:r>
              <w:rPr>
                <w:rFonts w:eastAsia="DengXian"/>
                <w:sz w:val="18"/>
                <w:szCs w:val="18"/>
                <w:lang w:eastAsia="zh-CN"/>
              </w:rPr>
              <w:t>Huawei, HiSilicon: No need to discuss. Spec is clear.</w:t>
            </w:r>
          </w:p>
          <w:p w14:paraId="646759FD" w14:textId="77777777" w:rsidR="0031647F" w:rsidRDefault="0031647F" w:rsidP="0031647F">
            <w:pPr>
              <w:jc w:val="both"/>
              <w:rPr>
                <w:rFonts w:eastAsia="DengXian"/>
                <w:sz w:val="18"/>
                <w:szCs w:val="18"/>
                <w:lang w:eastAsia="zh-CN"/>
              </w:rPr>
            </w:pPr>
          </w:p>
          <w:p w14:paraId="03827FBF" w14:textId="77777777" w:rsidR="0031647F" w:rsidRDefault="0031647F" w:rsidP="0031647F">
            <w:pPr>
              <w:snapToGrid w:val="0"/>
              <w:jc w:val="both"/>
              <w:rPr>
                <w:rFonts w:eastAsia="PMingLiU"/>
                <w:sz w:val="18"/>
                <w:szCs w:val="18"/>
                <w:lang w:eastAsia="zh-TW"/>
              </w:rPr>
            </w:pP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lastRenderedPageBreak/>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lastRenderedPageBreak/>
              <w:t>OPPO</w:t>
            </w:r>
          </w:p>
        </w:tc>
        <w:tc>
          <w:tcPr>
            <w:tcW w:w="1089" w:type="dxa"/>
          </w:tcPr>
          <w:p w14:paraId="56F1699C" w14:textId="77777777" w:rsidR="0031647F" w:rsidRDefault="0031647F" w:rsidP="0031647F">
            <w:pPr>
              <w:snapToGrid w:val="0"/>
              <w:rPr>
                <w:sz w:val="20"/>
                <w:szCs w:val="20"/>
              </w:rPr>
            </w:pPr>
            <w:r>
              <w:rPr>
                <w:rFonts w:eastAsia="DengXian"/>
                <w:sz w:val="20"/>
                <w:szCs w:val="20"/>
                <w:lang w:eastAsia="zh-CN"/>
              </w:rPr>
              <w:t>H</w:t>
            </w:r>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 xml:space="preserve">legacy MAC-CE/RRC/RACH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29B5EDFC"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in Rel-17 unified TCI framework, the indicated TCI state(s) is based on the activated TCI states in the slot with TCI state indication </w:t>
            </w:r>
            <w:proofErr w:type="gramStart"/>
            <w:r>
              <w:rPr>
                <w:rFonts w:eastAsia="DengXian"/>
                <w:sz w:val="18"/>
                <w:szCs w:val="18"/>
                <w:lang w:eastAsia="zh-CN"/>
              </w:rPr>
              <w:t>DCI.(</w:t>
            </w:r>
            <w:proofErr w:type="gramEnd"/>
            <w:r>
              <w:rPr>
                <w:rFonts w:eastAsia="DengXian"/>
                <w:sz w:val="18"/>
                <w:szCs w:val="18"/>
                <w:lang w:eastAsia="zh-CN"/>
              </w:rPr>
              <w:t>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lastRenderedPageBreak/>
              <w:t>OPPO</w:t>
            </w:r>
          </w:p>
        </w:tc>
        <w:tc>
          <w:tcPr>
            <w:tcW w:w="1089" w:type="dxa"/>
          </w:tcPr>
          <w:p w14:paraId="1A234E7A" w14:textId="77777777" w:rsidR="0031647F" w:rsidRDefault="0031647F" w:rsidP="0031647F">
            <w:pPr>
              <w:snapToGrid w:val="0"/>
              <w:rPr>
                <w:sz w:val="20"/>
                <w:szCs w:val="20"/>
              </w:rPr>
            </w:pPr>
            <w:r>
              <w:rPr>
                <w:sz w:val="20"/>
                <w:szCs w:val="20"/>
              </w:rPr>
              <w:t>N</w:t>
            </w:r>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 xml:space="preserve">Huawei, HiSilicon: Not needed. </w:t>
            </w:r>
            <w:r>
              <w:rPr>
                <w:rFonts w:ascii="Times" w:eastAsia="DengXian" w:hAnsi="Times"/>
                <w:sz w:val="18"/>
                <w:lang w:eastAsia="zh-CN"/>
              </w:rPr>
              <w:t>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5248709A" w14:textId="69BD4F2A" w:rsidR="00772586" w:rsidRDefault="00772586" w:rsidP="0031647F">
            <w:pPr>
              <w:snapToGrid w:val="0"/>
              <w:jc w:val="both"/>
              <w:rPr>
                <w:rFonts w:eastAsia="PMingLiU"/>
                <w:sz w:val="18"/>
                <w:szCs w:val="18"/>
                <w:lang w:eastAsia="zh-TW"/>
              </w:rPr>
            </w:pP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784FFD23" w14:textId="77777777" w:rsidR="0031647F" w:rsidRDefault="0031647F" w:rsidP="0031647F">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3BE34110" w14:textId="77777777" w:rsidR="0031647F" w:rsidRDefault="0031647F" w:rsidP="0031647F">
            <w:pPr>
              <w:jc w:val="both"/>
              <w:rPr>
                <w:rFonts w:eastAsia="DengXian"/>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0888EE23" w:rsidR="00A16513" w:rsidRDefault="00A16513" w:rsidP="0031647F">
            <w:pPr>
              <w:snapToGrid w:val="0"/>
              <w:jc w:val="both"/>
              <w:rPr>
                <w:rFonts w:eastAsia="DengXian"/>
                <w:sz w:val="18"/>
                <w:szCs w:val="18"/>
                <w:lang w:eastAsia="zh-CN"/>
              </w:rPr>
            </w:pPr>
            <w:r>
              <w:rPr>
                <w:rFonts w:eastAsia="DengXian"/>
                <w:sz w:val="18"/>
                <w:szCs w:val="18"/>
                <w:lang w:eastAsia="zh-CN"/>
              </w:rPr>
              <w:t>Huawei</w:t>
            </w:r>
            <w:r>
              <w:rPr>
                <w:rFonts w:eastAsia="DengXian"/>
                <w:sz w:val="18"/>
                <w:szCs w:val="18"/>
                <w:lang w:eastAsia="zh-CN"/>
              </w:rPr>
              <w:t>, HiSilicon</w:t>
            </w:r>
            <w:r>
              <w:rPr>
                <w:rFonts w:eastAsia="DengXian"/>
                <w:sz w:val="18"/>
                <w:szCs w:val="18"/>
                <w:lang w:eastAsia="zh-CN"/>
              </w:rPr>
              <w:t>: OK to discuss.</w:t>
            </w:r>
          </w:p>
          <w:p w14:paraId="1843DBAE" w14:textId="07932C83" w:rsidR="00A16513" w:rsidRDefault="00A16513" w:rsidP="0031647F">
            <w:pPr>
              <w:snapToGrid w:val="0"/>
              <w:jc w:val="both"/>
              <w:rPr>
                <w:rFonts w:eastAsia="DengXian"/>
                <w:sz w:val="18"/>
                <w:szCs w:val="18"/>
                <w:lang w:eastAsia="zh-CN"/>
              </w:rPr>
            </w:pP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7315C51B" w14:textId="77777777" w:rsidR="0031647F" w:rsidRDefault="0031647F" w:rsidP="0031647F">
            <w:pPr>
              <w:snapToGrid w:val="0"/>
              <w:rPr>
                <w:sz w:val="20"/>
                <w:szCs w:val="20"/>
              </w:rPr>
            </w:pPr>
            <w:r>
              <w:rPr>
                <w:sz w:val="20"/>
                <w:szCs w:val="20"/>
              </w:rPr>
              <w:t>H</w:t>
            </w:r>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Yu Mincho"/>
                <w:sz w:val="18"/>
                <w:szCs w:val="18"/>
                <w:lang w:eastAsia="ja-JP"/>
              </w:rPr>
              <w:t>Ericsson: OK to discuss</w:t>
            </w:r>
          </w:p>
          <w:p w14:paraId="1B67710B" w14:textId="77777777" w:rsidR="00A16513" w:rsidRDefault="00A16513" w:rsidP="00A16513">
            <w:pPr>
              <w:snapToGrid w:val="0"/>
              <w:jc w:val="both"/>
              <w:rPr>
                <w:rFonts w:eastAsia="DengXian"/>
                <w:sz w:val="18"/>
                <w:szCs w:val="18"/>
                <w:lang w:eastAsia="zh-CN"/>
              </w:rPr>
            </w:pPr>
            <w:r>
              <w:rPr>
                <w:rFonts w:eastAsia="DengXian"/>
                <w:sz w:val="18"/>
                <w:szCs w:val="18"/>
                <w:lang w:eastAsia="zh-CN"/>
              </w:rPr>
              <w:t>Huawei</w:t>
            </w:r>
            <w:r>
              <w:rPr>
                <w:rFonts w:eastAsia="DengXian"/>
                <w:sz w:val="18"/>
                <w:szCs w:val="18"/>
                <w:lang w:eastAsia="zh-CN"/>
              </w:rPr>
              <w:t>, HiSilicon</w:t>
            </w:r>
            <w:r>
              <w:rPr>
                <w:rFonts w:eastAsia="DengXian"/>
                <w:sz w:val="18"/>
                <w:szCs w:val="18"/>
                <w:lang w:eastAsia="zh-CN"/>
              </w:rPr>
              <w:t>: OK to discuss.</w:t>
            </w:r>
          </w:p>
          <w:p w14:paraId="54679FEF" w14:textId="77777777" w:rsidR="0031647F" w:rsidRDefault="0031647F" w:rsidP="0031647F">
            <w:pPr>
              <w:snapToGrid w:val="0"/>
              <w:jc w:val="both"/>
              <w:rPr>
                <w:rFonts w:eastAsia="PMingLiU"/>
                <w:sz w:val="18"/>
                <w:szCs w:val="18"/>
                <w:lang w:eastAsia="zh-TW"/>
              </w:rPr>
            </w:pP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w:t>
            </w:r>
            <w:r>
              <w:rPr>
                <w:rFonts w:eastAsia="DengXian"/>
                <w:sz w:val="18"/>
                <w:szCs w:val="18"/>
                <w:lang w:eastAsia="zh-CN"/>
              </w:rPr>
              <w:lastRenderedPageBreak/>
              <w:t xml:space="preserve">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lastRenderedPageBreak/>
              <w:t>Huawei</w:t>
            </w:r>
          </w:p>
        </w:tc>
        <w:tc>
          <w:tcPr>
            <w:tcW w:w="1089" w:type="dxa"/>
          </w:tcPr>
          <w:p w14:paraId="38F35E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DengXian"/>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538D14F4" w:rsidR="00181136" w:rsidRPr="00706324"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w:t>
            </w:r>
            <w:r>
              <w:rPr>
                <w:rFonts w:eastAsia="DengXian"/>
                <w:sz w:val="18"/>
                <w:szCs w:val="18"/>
                <w:lang w:eastAsia="zh-CN"/>
              </w:rPr>
              <w:t xml:space="preserve">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w:t>
            </w:r>
            <w:r>
              <w:rPr>
                <w:rFonts w:eastAsia="DengXian"/>
                <w:sz w:val="18"/>
                <w:szCs w:val="18"/>
                <w:lang w:eastAsia="zh-CN"/>
              </w:rPr>
              <w:t>think this issue</w:t>
            </w:r>
            <w:r>
              <w:rPr>
                <w:rFonts w:eastAsia="DengXian"/>
                <w:sz w:val="18"/>
                <w:szCs w:val="18"/>
                <w:lang w:eastAsia="zh-CN"/>
              </w:rPr>
              <w:t xml:space="preserve"> should be captured in the spec</w:t>
            </w:r>
            <w:r>
              <w:rPr>
                <w:rFonts w:eastAsia="DengXian"/>
                <w:sz w:val="18"/>
                <w:szCs w:val="18"/>
                <w:lang w:eastAsia="zh-CN"/>
              </w:rPr>
              <w:t>.</w:t>
            </w:r>
          </w:p>
          <w:p w14:paraId="29C2A0A5" w14:textId="77777777" w:rsidR="007D070D" w:rsidRDefault="007D070D" w:rsidP="0031647F">
            <w:pPr>
              <w:jc w:val="both"/>
              <w:rPr>
                <w:rFonts w:eastAsia="DengXian"/>
                <w:sz w:val="18"/>
                <w:szCs w:val="18"/>
                <w:lang w:eastAsia="zh-CN"/>
              </w:rPr>
            </w:pPr>
          </w:p>
          <w:p w14:paraId="1A8D0811" w14:textId="77777777" w:rsidR="0031647F" w:rsidRDefault="0031647F" w:rsidP="0031647F">
            <w:pPr>
              <w:jc w:val="both"/>
              <w:rPr>
                <w:rFonts w:eastAsia="DengXian"/>
                <w:sz w:val="18"/>
                <w:szCs w:val="18"/>
                <w:lang w:eastAsia="zh-CN"/>
              </w:rPr>
            </w:pPr>
          </w:p>
          <w:p w14:paraId="2F7B3B5C" w14:textId="77777777" w:rsidR="0031647F" w:rsidRDefault="0031647F" w:rsidP="0031647F">
            <w:pPr>
              <w:snapToGrid w:val="0"/>
              <w:jc w:val="both"/>
              <w:rPr>
                <w:rFonts w:eastAsia="PMingLiU"/>
                <w:sz w:val="18"/>
                <w:szCs w:val="18"/>
                <w:lang w:eastAsia="zh-TW"/>
              </w:rPr>
            </w:pP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365BECE6"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DengXian"/>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1A3DFBC9" w:rsidR="007D070D" w:rsidRDefault="00EB6977" w:rsidP="0031647F">
            <w:pPr>
              <w:jc w:val="both"/>
              <w:rPr>
                <w:rFonts w:eastAsia="DengXian"/>
                <w:sz w:val="18"/>
                <w:szCs w:val="18"/>
                <w:lang w:eastAsia="zh-CN"/>
              </w:rPr>
            </w:pPr>
            <w:r>
              <w:rPr>
                <w:rFonts w:eastAsia="DengXian"/>
                <w:sz w:val="18"/>
                <w:szCs w:val="18"/>
                <w:lang w:eastAsia="zh-CN"/>
              </w:rPr>
              <w:t xml:space="preserve">Huawei: </w:t>
            </w:r>
            <w:r>
              <w:rPr>
                <w:rFonts w:eastAsia="DengXian"/>
                <w:sz w:val="18"/>
                <w:szCs w:val="18"/>
                <w:lang w:eastAsia="zh-CN"/>
              </w:rPr>
              <w:t>A</w:t>
            </w:r>
            <w:bookmarkStart w:id="4" w:name="_GoBack"/>
            <w:bookmarkEnd w:id="4"/>
            <w:r>
              <w:rPr>
                <w:rFonts w:eastAsia="DengXian"/>
                <w:sz w:val="18"/>
                <w:szCs w:val="18"/>
                <w:lang w:eastAsia="zh-CN"/>
              </w:rPr>
              <w:t>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lastRenderedPageBreak/>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964018">
            <w:pPr>
              <w:snapToGrid w:val="0"/>
              <w:rPr>
                <w:rFonts w:ascii="Arial" w:hAnsi="Arial" w:cs="Arial"/>
                <w:color w:val="000000"/>
                <w:sz w:val="16"/>
                <w:szCs w:val="16"/>
              </w:rPr>
            </w:pPr>
            <w:hyperlink r:id="rId12"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964018">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964018">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964018">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964018">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964018">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964018">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964018">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964018">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964018">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964018">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964018">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964018">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964018">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964018">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964018">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964018">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964018">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964018">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964018">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964018">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964018">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964018">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964018">
            <w:pPr>
              <w:snapToGrid w:val="0"/>
              <w:rPr>
                <w:rFonts w:ascii="Arial" w:hAnsi="Arial" w:cs="Arial"/>
                <w:b/>
                <w:bCs/>
                <w:color w:val="0000FF"/>
                <w:sz w:val="16"/>
                <w:szCs w:val="16"/>
                <w:u w:val="single"/>
              </w:rPr>
            </w:pPr>
            <w:hyperlink r:id="rId35"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964018">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964018">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964018">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964018">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964018">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964018">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964018">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964018">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964018">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964018">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964018">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964018">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964018">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lastRenderedPageBreak/>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964018">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CDC9" w14:textId="77777777" w:rsidR="006F4BEE" w:rsidRDefault="006F4BEE" w:rsidP="007D2324">
      <w:r>
        <w:separator/>
      </w:r>
    </w:p>
  </w:endnote>
  <w:endnote w:type="continuationSeparator" w:id="0">
    <w:p w14:paraId="73FEB261" w14:textId="77777777" w:rsidR="006F4BEE" w:rsidRDefault="006F4BEE"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CC73" w14:textId="77777777" w:rsidR="006F4BEE" w:rsidRDefault="006F4BEE" w:rsidP="007D2324">
      <w:r>
        <w:separator/>
      </w:r>
    </w:p>
  </w:footnote>
  <w:footnote w:type="continuationSeparator" w:id="0">
    <w:p w14:paraId="30FADA0A" w14:textId="77777777" w:rsidR="006F4BEE" w:rsidRDefault="006F4BEE"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FF3CED-ABFE-420C-A7CA-99A07716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7166</Words>
  <Characters>40849</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6</cp:revision>
  <dcterms:created xsi:type="dcterms:W3CDTF">2022-10-10T15:39:00Z</dcterms:created>
  <dcterms:modified xsi:type="dcterms:W3CDTF">2022-10-10T17:09:00Z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