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af3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Batang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D02FD3">
      <w:pPr>
        <w:spacing w:after="0"/>
        <w:jc w:val="left"/>
      </w:pPr>
      <w:hyperlink r:id="rId12" w:history="1">
        <w:r w:rsidR="008643C8">
          <w:rPr>
            <w:rStyle w:val="afa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5BFD85" w14:textId="77777777" w:rsidR="00FC5D6A" w:rsidRDefault="00D02FD3">
      <w:pPr>
        <w:spacing w:after="0"/>
        <w:jc w:val="left"/>
      </w:pPr>
      <w:hyperlink r:id="rId13" w:history="1">
        <w:r w:rsidR="008643C8">
          <w:rPr>
            <w:rStyle w:val="afa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微软雅黑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微软雅黑"/>
        </w:rPr>
      </w:pPr>
    </w:p>
    <w:p w14:paraId="5034DB6D" w14:textId="77777777" w:rsidR="00FC5D6A" w:rsidRDefault="008643C8">
      <w:pPr>
        <w:pStyle w:val="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af6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Batang" w:hint="eastAsia"/>
                <w:color w:val="000000"/>
              </w:rPr>
              <w:t>fallbackRAR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Batang" w:hint="eastAsia"/>
                <w:color w:val="000000"/>
              </w:rPr>
              <w:t>MsgA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may have different understanding on the assumed TDRA table. </w:t>
      </w:r>
    </w:p>
    <w:p w14:paraId="6594450E" w14:textId="77777777" w:rsidR="00FC5D6A" w:rsidRDefault="008643C8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 w:rsidTr="00F3485A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 w:rsidTr="00F3485A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D02FD3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afa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D02FD3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afa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 w:rsidTr="00F3485A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 w:rsidTr="00F3485A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gNB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implementation.</w:t>
            </w:r>
          </w:p>
        </w:tc>
      </w:tr>
      <w:tr w:rsidR="001C5409" w14:paraId="02E8D3B5" w14:textId="77777777" w:rsidTr="00F3485A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Hence we don’t support changing the specification.</w:t>
            </w:r>
          </w:p>
        </w:tc>
      </w:tr>
      <w:tr w:rsidR="001C5409" w14:paraId="5375B48A" w14:textId="77777777" w:rsidTr="00F3485A">
        <w:tc>
          <w:tcPr>
            <w:tcW w:w="1740" w:type="dxa"/>
          </w:tcPr>
          <w:p w14:paraId="62721871" w14:textId="53597970" w:rsidR="001C5409" w:rsidRDefault="00F3485A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4E20980B" w14:textId="6EDD3917" w:rsidR="001C5409" w:rsidRPr="00F3485A" w:rsidRDefault="00F3485A" w:rsidP="00F3485A">
            <w:pPr>
              <w:wordWrap w:val="0"/>
              <w:jc w:val="left"/>
              <w:rPr>
                <w:lang w:eastAsia="zh-CN"/>
              </w:rPr>
            </w:pPr>
            <w:r w:rsidRPr="00F3485A">
              <w:rPr>
                <w:rFonts w:ascii="New York" w:hAnsi="New York"/>
                <w:lang w:eastAsia="zh-CN"/>
              </w:rPr>
              <w:t>We acknowledge</w:t>
            </w:r>
            <w:r w:rsidR="006F4085">
              <w:rPr>
                <w:rFonts w:ascii="New York" w:hAnsi="New York"/>
                <w:lang w:eastAsia="zh-CN"/>
              </w:rPr>
              <w:t>d</w:t>
            </w:r>
            <w:r w:rsidRPr="00F3485A">
              <w:rPr>
                <w:rFonts w:ascii="New York" w:hAnsi="New York"/>
                <w:lang w:eastAsia="zh-CN"/>
              </w:rPr>
              <w:t xml:space="preserve"> the issue identified by ZTE (and previously CATT). </w:t>
            </w:r>
            <w:r>
              <w:rPr>
                <w:rFonts w:ascii="New York" w:hAnsi="New York"/>
                <w:lang w:eastAsia="zh-CN"/>
              </w:rPr>
              <w:t xml:space="preserve">We should keep the previous conclusion i.e., leaving for gNB implementation. </w:t>
            </w:r>
          </w:p>
        </w:tc>
      </w:tr>
      <w:tr w:rsidR="007D1B99" w14:paraId="46220433" w14:textId="77777777" w:rsidTr="00F3485A">
        <w:tc>
          <w:tcPr>
            <w:tcW w:w="1740" w:type="dxa"/>
          </w:tcPr>
          <w:p w14:paraId="0AD297AA" w14:textId="130AD9E1" w:rsidR="007D1B99" w:rsidRDefault="007D1B9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 w14:paraId="4C111366" w14:textId="0CEC6F7F" w:rsidR="007D1B99" w:rsidRPr="00F3485A" w:rsidRDefault="007D1B99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</w:t>
            </w:r>
            <w:proofErr w:type="spellStart"/>
            <w:r>
              <w:rPr>
                <w:rFonts w:ascii="New York" w:hAnsi="New York"/>
                <w:lang w:eastAsia="zh-CN"/>
              </w:rPr>
              <w:t>gNB</w:t>
            </w:r>
            <w:proofErr w:type="spellEnd"/>
            <w:r>
              <w:rPr>
                <w:rFonts w:ascii="New York" w:hAnsi="New York"/>
                <w:lang w:eastAsia="zh-CN"/>
              </w:rPr>
              <w:t xml:space="preserve"> implementation can solve this </w:t>
            </w:r>
            <w:r w:rsidR="001B3099">
              <w:rPr>
                <w:rFonts w:ascii="New York" w:hAnsi="New York"/>
                <w:lang w:eastAsia="zh-CN"/>
              </w:rPr>
              <w:t xml:space="preserve">issue. </w:t>
            </w:r>
            <w:bookmarkStart w:id="4" w:name="_GoBack"/>
            <w:bookmarkEnd w:id="4"/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 xml:space="preserve">Option 1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2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Consider option 3 as a starting point to solve the TDRA list misalignment problem between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6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  <w:proofErr w:type="spellEnd"/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F12E" w14:textId="77777777" w:rsidR="00D02FD3" w:rsidRDefault="00D02FD3">
      <w:pPr>
        <w:spacing w:after="0" w:line="240" w:lineRule="auto"/>
      </w:pPr>
      <w:r>
        <w:separator/>
      </w:r>
    </w:p>
  </w:endnote>
  <w:endnote w:type="continuationSeparator" w:id="0">
    <w:p w14:paraId="5A3E5724" w14:textId="77777777" w:rsidR="00D02FD3" w:rsidRDefault="00D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569B" w14:textId="77777777" w:rsidR="00FC5D6A" w:rsidRDefault="008643C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CBE69AC" w14:textId="77777777" w:rsidR="00FC5D6A" w:rsidRDefault="00FC5D6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DC3F" w14:textId="7BCCFE1B" w:rsidR="00FC5D6A" w:rsidRDefault="008643C8">
    <w:pPr>
      <w:pStyle w:val="ae"/>
      <w:ind w:right="360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1B3099">
      <w:rPr>
        <w:rStyle w:val="af8"/>
        <w:noProof/>
      </w:rPr>
      <w:t>6</w:t>
    </w:r>
    <w:r>
      <w:rPr>
        <w:rStyle w:val="af8"/>
      </w:rPr>
      <w:fldChar w:fldCharType="end"/>
    </w:r>
    <w:r>
      <w:rPr>
        <w:rStyle w:val="af8"/>
      </w:rPr>
      <w:t>/</w:t>
    </w: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1B3099">
      <w:rPr>
        <w:rStyle w:val="af8"/>
        <w:noProof/>
      </w:rPr>
      <w:t>6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9471" w14:textId="77777777" w:rsidR="00D02FD3" w:rsidRDefault="00D02FD3">
      <w:pPr>
        <w:spacing w:after="0" w:line="240" w:lineRule="auto"/>
      </w:pPr>
      <w:r>
        <w:separator/>
      </w:r>
    </w:p>
  </w:footnote>
  <w:footnote w:type="continuationSeparator" w:id="0">
    <w:p w14:paraId="5B62AFFB" w14:textId="77777777" w:rsidR="00D02FD3" w:rsidRDefault="00D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link w:val="af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954F72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宋体" w:hAnsi="Arial" w:cs="Arial"/>
      <w:color w:val="0000FF"/>
      <w:kern w:val="2"/>
      <w:lang w:eastAsia="zh-CN"/>
    </w:rPr>
  </w:style>
  <w:style w:type="paragraph" w:styleId="afd">
    <w:name w:val="List Paragraph"/>
    <w:basedOn w:val="a"/>
    <w:link w:val="afe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4">
    <w:name w:val="标题 字符"/>
    <w:link w:val="af3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e">
    <w:name w:val="列出段落 字符"/>
    <w:link w:val="afd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页眉 字符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506189-80D1-4F55-A2FF-1C7608CB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Spreadtrum</cp:lastModifiedBy>
  <cp:revision>3</cp:revision>
  <cp:lastPrinted>2016-09-30T01:19:00Z</cp:lastPrinted>
  <dcterms:created xsi:type="dcterms:W3CDTF">2022-10-11T01:14:00Z</dcterms:created>
  <dcterms:modified xsi:type="dcterms:W3CDTF">2022-10-11T01:34:00Z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