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1"/>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맑은 고딕"/>
                <w:sz w:val="20"/>
                <w:szCs w:val="20"/>
                <w:lang w:eastAsia="ko-KR"/>
              </w:rPr>
            </w:pPr>
            <w:r>
              <w:rPr>
                <w:rFonts w:eastAsia="맑은 고딕"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맑은 고딕"/>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맑은 고딕"/>
                <w:color w:val="000000"/>
                <w:sz w:val="20"/>
                <w:szCs w:val="20"/>
                <w:shd w:val="clear" w:color="auto" w:fill="FFFFFF"/>
              </w:rPr>
              <w:t>The proposed solution is a good way forward in our view. </w:t>
            </w:r>
            <w:r>
              <w:rPr>
                <w:rStyle w:val="eop"/>
                <w:rFonts w:eastAsia="맑은 고딕"/>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맑은 고딕"/>
                <w:sz w:val="20"/>
                <w:szCs w:val="20"/>
                <w:lang w:eastAsia="ko-KR"/>
              </w:rPr>
            </w:pPr>
            <w:r>
              <w:rPr>
                <w:rFonts w:eastAsia="맑은 고딕"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Thank Moderator and Qualcomm for the quick reply. </w:t>
            </w:r>
            <w:r>
              <w:rPr>
                <w:rFonts w:eastAsia="맑은 고딕"/>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맑은 고딕"/>
                <w:sz w:val="20"/>
                <w:szCs w:val="20"/>
                <w:lang w:eastAsia="ko-KR"/>
              </w:rPr>
              <w:lastRenderedPageBreak/>
              <w:t xml:space="preserve">new RRC parameter, </w:t>
            </w:r>
            <w:r w:rsidRPr="00A0250C">
              <w:rPr>
                <w:rFonts w:eastAsia="맑은 고딕" w:hint="eastAsia"/>
                <w:i/>
                <w:sz w:val="20"/>
                <w:szCs w:val="20"/>
                <w:lang w:eastAsia="ko-KR"/>
              </w:rPr>
              <w:t>csi-ReportingBand-r17</w:t>
            </w:r>
            <w:r>
              <w:rPr>
                <w:rFonts w:eastAsia="맑은 고딕"/>
                <w:sz w:val="20"/>
                <w:szCs w:val="20"/>
                <w:lang w:eastAsia="ko-KR"/>
              </w:rPr>
              <w:t xml:space="preserve">, is needed. gNB can reuse </w:t>
            </w:r>
            <w:r w:rsidRPr="00A0250C">
              <w:rPr>
                <w:rFonts w:eastAsia="맑은 고딕"/>
                <w:i/>
                <w:sz w:val="20"/>
                <w:szCs w:val="20"/>
                <w:lang w:eastAsia="ko-KR"/>
              </w:rPr>
              <w:t>csi-ReportingBand</w:t>
            </w:r>
            <w:r>
              <w:rPr>
                <w:rFonts w:eastAsia="맑은 고딕"/>
                <w:sz w:val="20"/>
                <w:szCs w:val="20"/>
                <w:lang w:eastAsia="ko-KR"/>
              </w:rPr>
              <w:t xml:space="preserve"> without restriction.</w:t>
            </w:r>
          </w:p>
          <w:p w14:paraId="0588E861" w14:textId="13EA3594"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sidRPr="00A0250C">
              <w:rPr>
                <w:rFonts w:eastAsia="맑은 고딕"/>
                <w:szCs w:val="20"/>
                <w:lang w:eastAsia="ko-KR"/>
              </w:rPr>
              <w:t xml:space="preserve">For UE not reporting the UE capability (i.e., for Rel-15/16/17 UEs): gNB can give a restricted </w:t>
            </w:r>
            <w:r w:rsidRPr="00A0250C">
              <w:rPr>
                <w:rFonts w:eastAsia="맑은 고딕"/>
                <w:i/>
                <w:szCs w:val="20"/>
                <w:lang w:eastAsia="ko-KR"/>
              </w:rPr>
              <w:t>csi-ReportingBand</w:t>
            </w:r>
            <w:r w:rsidRPr="00A0250C">
              <w:rPr>
                <w:rFonts w:eastAsia="맑은 고딕"/>
                <w:szCs w:val="20"/>
                <w:lang w:eastAsia="ko-KR"/>
              </w:rPr>
              <w:t xml:space="preserve"> only, for aligning two interpretations.</w:t>
            </w:r>
          </w:p>
          <w:p w14:paraId="2C534926" w14:textId="61BEC771"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sidRPr="00A0250C">
              <w:rPr>
                <w:rFonts w:eastAsia="맑은 고딕"/>
                <w:szCs w:val="20"/>
                <w:lang w:eastAsia="ko-KR"/>
              </w:rPr>
              <w:t xml:space="preserve">For UE reporting the UE capability (i.e., for Rel-17 UEs): gNB can give a full flexible </w:t>
            </w:r>
            <w:r w:rsidRPr="00A0250C">
              <w:rPr>
                <w:rFonts w:eastAsia="맑은 고딕"/>
                <w:i/>
                <w:szCs w:val="20"/>
                <w:lang w:eastAsia="ko-KR"/>
              </w:rPr>
              <w:t>csi-ReportingBand</w:t>
            </w:r>
            <w:r w:rsidRPr="00A0250C">
              <w:rPr>
                <w:rFonts w:eastAsia="맑은 고딕"/>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Also, clarifying in Rel-17 is </w:t>
            </w:r>
            <w:r>
              <w:rPr>
                <w:rFonts w:eastAsia="맑은 고딕"/>
                <w:sz w:val="20"/>
                <w:szCs w:val="20"/>
                <w:lang w:eastAsia="ko-KR"/>
              </w:rPr>
              <w:t xml:space="preserve">of course important, but we think that the more important problem to be fixed indeed is Rel-15/16, </w:t>
            </w:r>
            <w:r w:rsidRPr="00A0250C">
              <w:rPr>
                <w:rFonts w:eastAsia="맑은 고딕"/>
                <w:sz w:val="20"/>
                <w:szCs w:val="20"/>
                <w:lang w:eastAsia="ko-KR"/>
              </w:rPr>
              <w:t>since there are several vendors which have different understanding on subband CSI reporting</w:t>
            </w:r>
            <w:r>
              <w:rPr>
                <w:rFonts w:eastAsia="맑은 고딕"/>
                <w:sz w:val="20"/>
                <w:szCs w:val="20"/>
                <w:lang w:eastAsia="ko-KR"/>
              </w:rPr>
              <w:t xml:space="preserve"> in Rel-15/16</w:t>
            </w:r>
            <w:r w:rsidRPr="00A0250C">
              <w:rPr>
                <w:rFonts w:eastAsia="맑은 고딕"/>
                <w:sz w:val="20"/>
                <w:szCs w:val="20"/>
                <w:lang w:eastAsia="ko-KR"/>
              </w:rPr>
              <w:t>, as mentioned in Ericsson's contribution.</w:t>
            </w:r>
            <w:r>
              <w:rPr>
                <w:rFonts w:eastAsia="맑은 고딕"/>
                <w:sz w:val="20"/>
                <w:szCs w:val="20"/>
                <w:lang w:eastAsia="ko-KR"/>
              </w:rPr>
              <w:t xml:space="preserve"> Hence, we would like to suggest on clarifying Rel-15/16 spec as well, by using a restricted configuration on </w:t>
            </w:r>
            <w:r w:rsidRPr="00A0250C">
              <w:rPr>
                <w:rFonts w:eastAsia="맑은 고딕"/>
                <w:i/>
                <w:sz w:val="20"/>
                <w:szCs w:val="20"/>
                <w:lang w:eastAsia="ko-KR"/>
              </w:rPr>
              <w:t>csi-ReportingBand</w:t>
            </w:r>
            <w:r>
              <w:rPr>
                <w:rFonts w:eastAsia="맑은 고딕"/>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Pr="00982601">
              <w:rPr>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3.4pt;height:17.4pt" o:ole="">
                  <v:imagedata r:id="rId9" o:title=""/>
                </v:shape>
                <o:OLEObject Type="Embed" ProgID="Equation.DSMT4" ShapeID="_x0000_i1067" DrawAspect="Content" ObjectID="_1727193655" r:id="rId10"/>
              </w:object>
            </w:r>
            <w:r w:rsidRPr="00982601">
              <w:rPr>
                <w:color w:val="000000"/>
                <w:sz w:val="20"/>
              </w:rPr>
              <w:t xml:space="preserve"> is the number of CSI reports configured to be carried on the PUSCH. Priority 0 is the highest priority and priority </w:t>
            </w:r>
            <w:r w:rsidRPr="00982601">
              <w:rPr>
                <w:color w:val="000000"/>
                <w:position w:val="-14"/>
                <w:sz w:val="20"/>
              </w:rPr>
              <w:object w:dxaOrig="560" w:dyaOrig="340" w14:anchorId="1BA29D7B">
                <v:shape id="_x0000_i1068" type="#_x0000_t75" style="width:28.8pt;height:17.4pt" o:ole="">
                  <v:imagedata r:id="rId11" o:title=""/>
                </v:shape>
                <o:OLEObject Type="Embed" ProgID="Equation.DSMT4" ShapeID="_x0000_i1068" DrawAspect="Content" ObjectID="_1727193656"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th smallest Pri</w:t>
            </w:r>
            <w:r w:rsidRPr="00982601">
              <w:rPr>
                <w:color w:val="000000"/>
                <w:sz w:val="20"/>
                <w:vertAlign w:val="subscript"/>
              </w:rPr>
              <w:t>i,CSI</w:t>
            </w:r>
            <w:r w:rsidRPr="00982601">
              <w:rPr>
                <w:color w:val="000000"/>
                <w:sz w:val="20"/>
              </w:rPr>
              <w:t>(</w:t>
            </w:r>
            <w:r w:rsidRPr="00982601">
              <w:rPr>
                <w:i/>
                <w:color w:val="000000"/>
                <w:sz w:val="20"/>
              </w:rPr>
              <w:t>y,k,c,s</w:t>
            </w:r>
            <w:r w:rsidRPr="00982601">
              <w:rPr>
                <w:color w:val="000000"/>
                <w:sz w:val="20"/>
              </w:rPr>
              <w:t xml:space="preserve">) value among the </w:t>
            </w:r>
            <w:r w:rsidRPr="00982601">
              <w:rPr>
                <w:color w:val="000000"/>
                <w:position w:val="-14"/>
                <w:sz w:val="20"/>
              </w:rPr>
              <w:object w:dxaOrig="460" w:dyaOrig="340" w14:anchorId="48802949">
                <v:shape id="_x0000_i1069" type="#_x0000_t75" style="width:22.2pt;height:13.8pt" o:ole="">
                  <v:imagedata r:id="rId9" o:title=""/>
                </v:shape>
                <o:OLEObject Type="Embed" ProgID="Equation.DSMT4" ShapeID="_x0000_i1069" DrawAspect="Content" ObjectID="_1727193657"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r w:rsidRPr="00982601">
              <w:rPr>
                <w:i/>
                <w:color w:val="000000"/>
                <w:sz w:val="20"/>
                <w:highlight w:val="yellow"/>
              </w:rPr>
              <w:t>csi-ReportingBand</w:t>
            </w:r>
            <w:r w:rsidRPr="00982601">
              <w:rPr>
                <w:color w:val="000000"/>
                <w:sz w:val="20"/>
                <w:highlight w:val="yellow"/>
              </w:rPr>
              <w:t xml:space="preserve"> are numbered continuously in increasing order with the lowest subband of </w:t>
            </w:r>
            <w:r w:rsidRPr="00982601">
              <w:rPr>
                <w:i/>
                <w:color w:val="000000"/>
                <w:sz w:val="20"/>
                <w:highlight w:val="yellow"/>
              </w:rPr>
              <w:t>csi-ReportingBand</w:t>
            </w:r>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subband restriction without causing ambiguity, but also there is possibility that some other gNB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맑은 고딕"/>
                <w:sz w:val="20"/>
                <w:szCs w:val="20"/>
                <w:lang w:eastAsia="ko-KR"/>
              </w:rPr>
            </w:pPr>
            <w:r>
              <w:rPr>
                <w:rFonts w:eastAsia="맑은 고딕"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no matter what was actually agreed.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in order to utilize at least some of the functionality of subband CSI reporting, the only way we can do in Rel-15/16 is configuring csi-ReportingBand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included in all the possible combinations expressed by csi-ReportingBand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csi-ReportingBand in Rel-15/16 is not acceptable, the </w:t>
            </w:r>
            <w:r>
              <w:rPr>
                <w:rFonts w:eastAsiaTheme="minorEastAsia"/>
                <w:sz w:val="20"/>
                <w:szCs w:val="20"/>
              </w:rPr>
              <w:t>possible wayforward</w:t>
            </w:r>
            <w:r w:rsidRPr="006945D2">
              <w:rPr>
                <w:rFonts w:eastAsiaTheme="minorEastAsia"/>
                <w:sz w:val="20"/>
                <w:szCs w:val="20"/>
              </w:rPr>
              <w:t xml:space="preserve"> is agreeing interpretation 1 for all releases (Rel-15/16/17)</w:t>
            </w:r>
            <w:r>
              <w:rPr>
                <w:rFonts w:eastAsiaTheme="minorEastAsia"/>
                <w:sz w:val="20"/>
                <w:szCs w:val="20"/>
              </w:rPr>
              <w:t xml:space="preserve"> since it was actually agreed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맑은 고딕"/>
                <w:sz w:val="20"/>
                <w:szCs w:val="20"/>
                <w:lang w:eastAsia="ko-KR"/>
              </w:rPr>
            </w:pPr>
            <w:r>
              <w:rPr>
                <w:rFonts w:eastAsia="맑은 고딕"/>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has to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맑은 고딕" w:hint="eastAsia"/>
                <w:sz w:val="20"/>
                <w:szCs w:val="20"/>
                <w:lang w:eastAsia="ko-KR"/>
              </w:rPr>
            </w:pPr>
            <w:r>
              <w:rPr>
                <w:rFonts w:eastAsia="맑은 고딕"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맑은 고딕" w:hint="eastAsia"/>
                <w:sz w:val="20"/>
                <w:szCs w:val="20"/>
                <w:lang w:eastAsia="ko-KR"/>
              </w:rPr>
            </w:pPr>
            <w:r>
              <w:rPr>
                <w:rFonts w:eastAsia="맑은 고딕"/>
                <w:sz w:val="20"/>
                <w:szCs w:val="20"/>
                <w:lang w:eastAsia="ko-KR"/>
              </w:rPr>
              <w:t xml:space="preserve">As commented by many companies, interpretation 1 seems common understanding in RAN1, so the CR is not needed. But, if majority companies wants to clarify, we could be flexible for introducing CR. </w:t>
            </w: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hint="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1"/>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6pt;height:13.2pt;mso-width-percent:0;mso-height-percent:0;mso-width-percent:0;mso-height-percent:0" o:ole="">
                                        <v:imagedata r:id="rId9" o:title=""/>
                                      </v:shape>
                                      <o:OLEObject Type="Embed" ProgID="Equation.DSMT4" ShapeID="_x0000_i1029" DrawAspect="Content" ObjectID="_1727193658"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4pt;height:13.2pt;mso-width-percent:0;mso-height-percent:0;mso-width-percent:0;mso-height-percent:0" o:ole="">
                                        <v:imagedata r:id="rId11" o:title=""/>
                                      </v:shape>
                                      <o:OLEObject Type="Embed" ProgID="Equation.DSMT4" ShapeID="_x0000_i1031" DrawAspect="Content" ObjectID="_1727193659"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6pt;height:13.2pt;mso-width-percent:0;mso-height-percent:0;mso-width-percent:0;mso-height-percent:0" o:ole="">
                                        <v:imagedata r:id="rId9" o:title=""/>
                                      </v:shape>
                                      <o:OLEObject Type="Embed" ProgID="Equation.DSMT4" ShapeID="_x0000_i1033" DrawAspect="Content" ObjectID="_1727193660"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5pt;height:13.5pt;mso-width-percent:0;mso-height-percent:0;mso-width-percent:0;mso-height-percent:0" o:ole="">
                                  <v:imagedata r:id="rId17" o:title=""/>
                                </v:shape>
                                <o:OLEObject Type="Embed" ProgID="Equation.DSMT4" ShapeID="_x0000_i1029" DrawAspect="Content" ObjectID="_1727188226" r:id="rId18"/>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5pt;height:13.5pt;mso-width-percent:0;mso-height-percent:0;mso-width-percent:0;mso-height-percent:0" o:ole="">
                                  <v:imagedata r:id="rId19" o:title=""/>
                                </v:shape>
                                <o:OLEObject Type="Embed" ProgID="Equation.DSMT4" ShapeID="_x0000_i1031" DrawAspect="Content" ObjectID="_1727188227" r:id="rId20"/>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5pt;height:13.5pt;mso-width-percent:0;mso-height-percent:0;mso-width-percent:0;mso-height-percent:0" o:ole="">
                                  <v:imagedata r:id="rId17" o:title=""/>
                                </v:shape>
                                <o:OLEObject Type="Embed" ProgID="Equation.DSMT4" ShapeID="_x0000_i1033" DrawAspect="Content" ObjectID="_1727188228" r:id="rId21"/>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af0"/>
                <w:rFonts w:eastAsia="맑은 고딕"/>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bookmarkStart w:id="1" w:name="_GoBack"/>
            <w:r w:rsidRPr="00164719">
              <w:rPr>
                <w:rFonts w:eastAsia="맑은 고딕" w:hint="eastAsia"/>
                <w:bCs w:val="0"/>
                <w:sz w:val="20"/>
                <w:szCs w:val="20"/>
                <w:lang w:eastAsia="ko-KR"/>
              </w:rPr>
              <w:t>LG</w:t>
            </w:r>
            <w:bookmarkEnd w:id="1"/>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Our understanding is also </w:t>
            </w:r>
            <w:bookmarkStart w:id="2" w:name="OLE_LINK492"/>
            <w:r>
              <w:rPr>
                <w:rFonts w:eastAsia="맑은 고딕" w:hint="eastAsia"/>
                <w:sz w:val="20"/>
                <w:szCs w:val="20"/>
                <w:lang w:eastAsia="ko-KR"/>
              </w:rPr>
              <w:t>Interpretation-1</w:t>
            </w:r>
            <w:bookmarkEnd w:id="2"/>
            <w:r>
              <w:rPr>
                <w:rFonts w:eastAsia="맑은 고딕"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맑은 고딕"/>
                <w:sz w:val="20"/>
                <w:szCs w:val="20"/>
                <w:lang w:eastAsia="ko-KR"/>
              </w:rPr>
            </w:pPr>
            <w:r>
              <w:rPr>
                <w:rFonts w:eastAsia="맑은 고딕" w:hint="eastAsia"/>
                <w:sz w:val="20"/>
                <w:szCs w:val="20"/>
                <w:lang w:eastAsia="ko-KR"/>
              </w:rPr>
              <w:lastRenderedPageBreak/>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맑은 고딕"/>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a4"/>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1468B" w14:textId="77777777" w:rsidR="00397CF2" w:rsidRDefault="00397CF2" w:rsidP="008E563B">
      <w:r>
        <w:separator/>
      </w:r>
    </w:p>
  </w:endnote>
  <w:endnote w:type="continuationSeparator" w:id="0">
    <w:p w14:paraId="551E740E" w14:textId="77777777" w:rsidR="00397CF2" w:rsidRDefault="00397CF2"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185B6" w14:textId="77777777" w:rsidR="00397CF2" w:rsidRDefault="00397CF2" w:rsidP="008E563B">
      <w:r>
        <w:separator/>
      </w:r>
    </w:p>
  </w:footnote>
  <w:footnote w:type="continuationSeparator" w:id="0">
    <w:p w14:paraId="2F54440F" w14:textId="77777777" w:rsidR="00397CF2" w:rsidRDefault="00397CF2" w:rsidP="008E5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86A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맑은 고딕"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2BFF"/>
    <w:rsid w:val="000F2C70"/>
    <w:rsid w:val="000F3BBC"/>
    <w:rsid w:val="000F438F"/>
    <w:rsid w:val="000F50D5"/>
    <w:rsid w:val="0010032D"/>
    <w:rsid w:val="00101074"/>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97CF2"/>
    <w:rsid w:val="003A2F61"/>
    <w:rsid w:val="003A35A7"/>
    <w:rsid w:val="003B0996"/>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7ADD"/>
    <w:rsid w:val="00521C39"/>
    <w:rsid w:val="00521D94"/>
    <w:rsid w:val="00522E25"/>
    <w:rsid w:val="0052688D"/>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65AAC"/>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512F"/>
    <w:rsid w:val="00716F94"/>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217"/>
    <w:rsid w:val="0088064F"/>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7A97"/>
    <w:rsid w:val="009918AA"/>
    <w:rsid w:val="00992274"/>
    <w:rsid w:val="009A0340"/>
    <w:rsid w:val="009A3393"/>
    <w:rsid w:val="009A350E"/>
    <w:rsid w:val="009A55AA"/>
    <w:rsid w:val="009A702F"/>
    <w:rsid w:val="009B15B5"/>
    <w:rsid w:val="009B721C"/>
    <w:rsid w:val="009C04D6"/>
    <w:rsid w:val="009C103E"/>
    <w:rsid w:val="009C1B00"/>
    <w:rsid w:val="009C255E"/>
    <w:rsid w:val="009C468D"/>
    <w:rsid w:val="009C51BA"/>
    <w:rsid w:val="009C59A3"/>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957"/>
    <w:rsid w:val="00A95A78"/>
    <w:rsid w:val="00A96746"/>
    <w:rsid w:val="00AA0569"/>
    <w:rsid w:val="00AA073E"/>
    <w:rsid w:val="00AA12FC"/>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368"/>
    <w:rsid w:val="00CB5D42"/>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2974"/>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2F6B"/>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ì¬º¥¹¥È¶ÎÂä Char,ÁÐ³ö¶ÎÂä Char,列表段落1 Char,—ño’i—Ž Char,¥ê¥¹¥È¶ÎÂä Char,1st level - Bullet List Paragraph Char,목록단락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rsid w:val="002E7927"/>
    <w:pPr>
      <w:spacing w:after="180"/>
      <w:ind w:left="1135" w:hanging="284"/>
    </w:pPr>
    <w:rPr>
      <w:rFonts w:eastAsia="SimSun"/>
      <w:sz w:val="20"/>
      <w:szCs w:val="20"/>
      <w:lang w:val="en-GB" w:eastAsia="en-US"/>
    </w:rPr>
  </w:style>
  <w:style w:type="paragraph" w:customStyle="1" w:styleId="B4">
    <w:name w:val="B4"/>
    <w:basedOn w:val="a"/>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af3">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SimSun"/>
      <w:sz w:val="20"/>
    </w:rPr>
  </w:style>
  <w:style w:type="character" w:customStyle="1" w:styleId="00TextChar">
    <w:name w:val="00_Text Char"/>
    <w:basedOn w:val="a0"/>
    <w:link w:val="00Text"/>
    <w:qFormat/>
    <w:rsid w:val="006C2364"/>
    <w:rPr>
      <w:rFonts w:ascii="Times New Roman" w:eastAsia="SimSun"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a0"/>
    <w:rsid w:val="003B0996"/>
  </w:style>
  <w:style w:type="character" w:customStyle="1" w:styleId="eop">
    <w:name w:val="eop"/>
    <w:basedOn w:val="a0"/>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2569</Words>
  <Characters>14647</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2022-10-13T10:14:00Z</dcterms:created>
  <dcterms:modified xsi:type="dcterms:W3CDTF">2022-10-13T10:14:00Z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