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296DC" w14:textId="43DE096D" w:rsidR="00170A11" w:rsidRPr="004947B0" w:rsidRDefault="00170A11" w:rsidP="00170A11">
      <w:pPr>
        <w:widowControl/>
        <w:tabs>
          <w:tab w:val="center" w:pos="4536"/>
          <w:tab w:val="right" w:pos="7938"/>
          <w:tab w:val="right" w:pos="9639"/>
        </w:tabs>
        <w:ind w:right="2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eastAsia="en-US"/>
        </w:rPr>
      </w:pPr>
      <w:r w:rsidRPr="004947B0">
        <w:rPr>
          <w:rFonts w:ascii="Arial" w:eastAsia="Batang" w:hAnsi="Arial" w:cs="Arial"/>
          <w:b/>
          <w:bCs/>
          <w:kern w:val="0"/>
          <w:sz w:val="28"/>
          <w:szCs w:val="24"/>
          <w:lang w:eastAsia="en-US"/>
        </w:rPr>
        <w:t>3GPP TSG RAN WG1 #110</w:t>
      </w:r>
      <w:r w:rsidRPr="004947B0">
        <w:rPr>
          <w:rFonts w:ascii="Arial" w:eastAsia="Batang" w:hAnsi="Arial" w:cs="Arial"/>
          <w:b/>
          <w:bCs/>
          <w:kern w:val="0"/>
          <w:sz w:val="28"/>
          <w:szCs w:val="24"/>
          <w:lang w:eastAsia="en-US"/>
        </w:rPr>
        <w:tab/>
      </w:r>
      <w:r w:rsidRPr="004947B0">
        <w:rPr>
          <w:rFonts w:ascii="Arial" w:eastAsia="Batang" w:hAnsi="Arial" w:cs="Arial"/>
          <w:b/>
          <w:bCs/>
          <w:kern w:val="0"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kern w:val="0"/>
          <w:sz w:val="28"/>
          <w:szCs w:val="24"/>
          <w:lang w:eastAsia="en-US"/>
        </w:rPr>
        <w:t>7118</w:t>
      </w:r>
    </w:p>
    <w:p w14:paraId="49225C80" w14:textId="410C8478" w:rsidR="00170A11" w:rsidRPr="004947B0" w:rsidRDefault="00170A11" w:rsidP="00170A11">
      <w:pPr>
        <w:widowControl/>
        <w:tabs>
          <w:tab w:val="center" w:pos="4536"/>
          <w:tab w:val="right" w:pos="9072"/>
        </w:tabs>
        <w:jc w:val="left"/>
        <w:rPr>
          <w:rFonts w:ascii="Arial" w:eastAsia="ＭＳ 明朝" w:hAnsi="Arial" w:cs="Arial"/>
          <w:b/>
          <w:bCs/>
          <w:kern w:val="0"/>
          <w:sz w:val="28"/>
          <w:szCs w:val="24"/>
        </w:rPr>
      </w:pPr>
      <w:r w:rsidRPr="004947B0">
        <w:rPr>
          <w:rFonts w:ascii="Arial" w:eastAsia="ＭＳ 明朝" w:hAnsi="Arial" w:cs="Arial"/>
          <w:b/>
          <w:bCs/>
          <w:kern w:val="0"/>
          <w:sz w:val="28"/>
          <w:szCs w:val="24"/>
        </w:rPr>
        <w:t>Toulouse, France, August 22</w:t>
      </w:r>
      <w:r w:rsidRPr="004947B0">
        <w:rPr>
          <w:rFonts w:ascii="Arial" w:eastAsia="ＭＳ 明朝" w:hAnsi="Arial" w:cs="Arial"/>
          <w:b/>
          <w:bCs/>
          <w:kern w:val="0"/>
          <w:sz w:val="28"/>
          <w:szCs w:val="24"/>
          <w:vertAlign w:val="superscript"/>
        </w:rPr>
        <w:t>nd</w:t>
      </w:r>
      <w:r w:rsidRPr="004947B0">
        <w:rPr>
          <w:rFonts w:ascii="Arial" w:eastAsia="ＭＳ 明朝" w:hAnsi="Arial" w:cs="Arial"/>
          <w:b/>
          <w:bCs/>
          <w:kern w:val="0"/>
          <w:sz w:val="28"/>
          <w:szCs w:val="24"/>
        </w:rPr>
        <w:t xml:space="preserve"> – 26</w:t>
      </w:r>
      <w:r w:rsidRPr="004947B0">
        <w:rPr>
          <w:rFonts w:ascii="Arial" w:eastAsia="ＭＳ 明朝" w:hAnsi="Arial" w:cs="Arial"/>
          <w:b/>
          <w:bCs/>
          <w:kern w:val="0"/>
          <w:sz w:val="28"/>
          <w:szCs w:val="24"/>
          <w:vertAlign w:val="superscript"/>
        </w:rPr>
        <w:t>th</w:t>
      </w:r>
      <w:r w:rsidRPr="004947B0">
        <w:rPr>
          <w:rFonts w:ascii="Arial" w:eastAsia="ＭＳ 明朝" w:hAnsi="Arial" w:cs="Arial"/>
          <w:b/>
          <w:bCs/>
          <w:kern w:val="0"/>
          <w:sz w:val="28"/>
          <w:szCs w:val="24"/>
        </w:rPr>
        <w:t>, 2022</w:t>
      </w:r>
    </w:p>
    <w:p w14:paraId="46436787" w14:textId="11F46662" w:rsidR="00170A11" w:rsidRPr="004947B0" w:rsidRDefault="00170A11" w:rsidP="00170A11">
      <w:pPr>
        <w:widowControl/>
        <w:jc w:val="left"/>
        <w:rPr>
          <w:rFonts w:ascii="Times" w:eastAsia="Batang" w:hAnsi="Times"/>
          <w:kern w:val="0"/>
          <w:lang w:eastAsia="en-US"/>
        </w:rPr>
      </w:pPr>
    </w:p>
    <w:p w14:paraId="22E77565" w14:textId="3A39524F" w:rsidR="00170A11" w:rsidRPr="004947B0" w:rsidRDefault="00170A11" w:rsidP="00170A11">
      <w:pPr>
        <w:widowControl/>
        <w:tabs>
          <w:tab w:val="left" w:pos="1985"/>
          <w:tab w:val="left" w:pos="2835"/>
          <w:tab w:val="right" w:pos="9072"/>
          <w:tab w:val="right" w:pos="10206"/>
        </w:tabs>
        <w:jc w:val="left"/>
        <w:rPr>
          <w:rFonts w:ascii="Arial" w:eastAsia="Batang" w:hAnsi="Arial"/>
          <w:b/>
          <w:kern w:val="0"/>
          <w:sz w:val="22"/>
          <w:lang w:eastAsia="en-US"/>
        </w:rPr>
      </w:pPr>
      <w:r w:rsidRPr="004947B0">
        <w:rPr>
          <w:rFonts w:ascii="Arial" w:eastAsia="Batang" w:hAnsi="Arial"/>
          <w:b/>
          <w:kern w:val="0"/>
          <w:sz w:val="22"/>
          <w:lang w:eastAsia="en-US"/>
        </w:rPr>
        <w:t xml:space="preserve">Source: </w:t>
      </w:r>
      <w:r w:rsidRPr="004947B0">
        <w:rPr>
          <w:rFonts w:ascii="Arial" w:eastAsia="Batang" w:hAnsi="Arial"/>
          <w:b/>
          <w:kern w:val="0"/>
          <w:sz w:val="22"/>
          <w:lang w:eastAsia="en-US"/>
        </w:rPr>
        <w:tab/>
      </w:r>
      <w:r>
        <w:rPr>
          <w:rFonts w:ascii="Arial" w:eastAsia="Batang" w:hAnsi="Arial"/>
          <w:b/>
          <w:kern w:val="0"/>
          <w:sz w:val="22"/>
          <w:lang w:eastAsia="en-US"/>
        </w:rPr>
        <w:t>Rakuten Mobile Inc.</w:t>
      </w:r>
    </w:p>
    <w:p w14:paraId="248F64E2" w14:textId="2394F47B" w:rsidR="00170A11" w:rsidRDefault="00170A11" w:rsidP="00170A11">
      <w:pPr>
        <w:widowControl/>
        <w:tabs>
          <w:tab w:val="left" w:pos="1985"/>
          <w:tab w:val="left" w:pos="2835"/>
          <w:tab w:val="right" w:pos="9072"/>
          <w:tab w:val="right" w:pos="10206"/>
        </w:tabs>
        <w:jc w:val="left"/>
        <w:rPr>
          <w:rFonts w:ascii="Arial" w:eastAsia="Batang" w:hAnsi="Arial"/>
          <w:b/>
          <w:kern w:val="0"/>
          <w:sz w:val="22"/>
          <w:lang w:eastAsia="en-US"/>
        </w:rPr>
      </w:pPr>
      <w:r w:rsidRPr="004947B0">
        <w:rPr>
          <w:rFonts w:ascii="Arial" w:eastAsia="Batang" w:hAnsi="Arial"/>
          <w:b/>
          <w:kern w:val="0"/>
          <w:sz w:val="22"/>
          <w:lang w:eastAsia="en-US"/>
        </w:rPr>
        <w:t>Title:</w:t>
      </w:r>
      <w:r w:rsidRPr="004947B0">
        <w:rPr>
          <w:rFonts w:ascii="Arial" w:eastAsia="Batang" w:hAnsi="Arial"/>
          <w:b/>
          <w:kern w:val="0"/>
          <w:sz w:val="22"/>
          <w:lang w:eastAsia="en-US"/>
        </w:rPr>
        <w:tab/>
      </w:r>
      <w:r>
        <w:rPr>
          <w:rFonts w:ascii="Arial" w:eastAsia="Batang" w:hAnsi="Arial"/>
          <w:b/>
          <w:kern w:val="0"/>
          <w:sz w:val="22"/>
          <w:lang w:eastAsia="en-US"/>
        </w:rPr>
        <w:t>Discussion on framework for interference mitigation</w:t>
      </w:r>
    </w:p>
    <w:p w14:paraId="2C1DE6A1" w14:textId="449FFACB" w:rsidR="00170A11" w:rsidRPr="004947B0" w:rsidRDefault="00170A11" w:rsidP="00170A11">
      <w:pPr>
        <w:widowControl/>
        <w:tabs>
          <w:tab w:val="left" w:pos="1985"/>
          <w:tab w:val="left" w:pos="2835"/>
          <w:tab w:val="right" w:pos="9072"/>
          <w:tab w:val="right" w:pos="10206"/>
        </w:tabs>
        <w:jc w:val="left"/>
        <w:rPr>
          <w:rFonts w:ascii="Arial" w:hAnsi="Arial"/>
          <w:b/>
          <w:kern w:val="0"/>
          <w:sz w:val="22"/>
        </w:rPr>
      </w:pPr>
      <w:r>
        <w:rPr>
          <w:rFonts w:ascii="Arial" w:hAnsi="Arial" w:hint="eastAsia"/>
          <w:b/>
          <w:kern w:val="0"/>
          <w:sz w:val="22"/>
        </w:rPr>
        <w:t>A</w:t>
      </w:r>
      <w:r>
        <w:rPr>
          <w:rFonts w:ascii="Arial" w:hAnsi="Arial"/>
          <w:b/>
          <w:kern w:val="0"/>
          <w:sz w:val="22"/>
        </w:rPr>
        <w:t>genda:</w:t>
      </w:r>
      <w:r>
        <w:rPr>
          <w:rFonts w:ascii="Arial" w:hAnsi="Arial"/>
          <w:b/>
          <w:kern w:val="0"/>
          <w:sz w:val="22"/>
        </w:rPr>
        <w:tab/>
        <w:t>9.3.2</w:t>
      </w:r>
    </w:p>
    <w:p w14:paraId="12256EA1" w14:textId="0895D565" w:rsidR="00170A11" w:rsidRPr="004947B0" w:rsidRDefault="00170A11" w:rsidP="00170A11">
      <w:pPr>
        <w:widowControl/>
        <w:tabs>
          <w:tab w:val="left" w:pos="1985"/>
          <w:tab w:val="left" w:pos="2835"/>
          <w:tab w:val="right" w:pos="9072"/>
          <w:tab w:val="right" w:pos="10206"/>
        </w:tabs>
        <w:jc w:val="left"/>
        <w:rPr>
          <w:rFonts w:ascii="Arial" w:eastAsia="Batang" w:hAnsi="Arial"/>
          <w:b/>
          <w:kern w:val="0"/>
          <w:sz w:val="22"/>
          <w:lang w:eastAsia="en-US"/>
        </w:rPr>
      </w:pPr>
      <w:r w:rsidRPr="004947B0">
        <w:rPr>
          <w:rFonts w:ascii="Arial" w:eastAsia="Batang" w:hAnsi="Arial"/>
          <w:b/>
          <w:kern w:val="0"/>
          <w:sz w:val="22"/>
          <w:lang w:eastAsia="en-US"/>
        </w:rPr>
        <w:t>Document for:</w:t>
      </w:r>
      <w:r w:rsidRPr="004947B0">
        <w:rPr>
          <w:rFonts w:ascii="Arial" w:eastAsia="Batang" w:hAnsi="Arial"/>
          <w:b/>
          <w:kern w:val="0"/>
          <w:sz w:val="22"/>
          <w:lang w:eastAsia="en-US"/>
        </w:rPr>
        <w:tab/>
      </w:r>
      <w:r>
        <w:rPr>
          <w:rFonts w:ascii="Arial" w:eastAsia="Batang" w:hAnsi="Arial"/>
          <w:b/>
          <w:kern w:val="0"/>
          <w:sz w:val="22"/>
          <w:lang w:eastAsia="en-US"/>
        </w:rPr>
        <w:t xml:space="preserve">Discussion and </w:t>
      </w:r>
      <w:r w:rsidRPr="004947B0">
        <w:rPr>
          <w:rFonts w:ascii="Arial" w:eastAsia="Batang" w:hAnsi="Arial"/>
          <w:b/>
          <w:kern w:val="0"/>
          <w:sz w:val="22"/>
          <w:lang w:eastAsia="en-US"/>
        </w:rPr>
        <w:t>Decision</w:t>
      </w:r>
    </w:p>
    <w:p w14:paraId="4111DC8C" w14:textId="1623830B" w:rsidR="00170A11" w:rsidRPr="004947B0" w:rsidRDefault="00170A11" w:rsidP="00170A11">
      <w:pPr>
        <w:widowControl/>
        <w:pBdr>
          <w:bottom w:val="single" w:sz="4" w:space="1" w:color="auto"/>
        </w:pBdr>
        <w:jc w:val="left"/>
        <w:rPr>
          <w:rFonts w:ascii="Times" w:eastAsia="Batang" w:hAnsi="Times"/>
          <w:kern w:val="0"/>
          <w:szCs w:val="24"/>
          <w:lang w:eastAsia="en-US"/>
        </w:rPr>
      </w:pPr>
    </w:p>
    <w:p w14:paraId="2239D8E9" w14:textId="3BB03721" w:rsidR="004947B0" w:rsidRPr="004947B0" w:rsidRDefault="004947B0" w:rsidP="00883703">
      <w:pPr>
        <w:rPr>
          <w:lang w:eastAsia="en-US"/>
        </w:rPr>
      </w:pPr>
    </w:p>
    <w:p w14:paraId="20431BF8" w14:textId="70A5750F" w:rsidR="004947B0" w:rsidRPr="00AB3585" w:rsidRDefault="00A45DF8" w:rsidP="00883703">
      <w:pPr>
        <w:pStyle w:val="1"/>
      </w:pPr>
      <w:r w:rsidRPr="00AB3585">
        <w:rPr>
          <w:rFonts w:hint="eastAsia"/>
        </w:rPr>
        <w:t>1</w:t>
      </w:r>
      <w:r w:rsidR="00CC5167" w:rsidRPr="00AB3585">
        <w:t>.</w:t>
      </w:r>
      <w:r w:rsidRPr="00AB3585">
        <w:t xml:space="preserve"> </w:t>
      </w:r>
      <w:r w:rsidR="00AB3585" w:rsidRPr="00AB3585">
        <w:t>Background</w:t>
      </w:r>
    </w:p>
    <w:p w14:paraId="119D4851" w14:textId="1EA3BD04" w:rsidR="0095581E" w:rsidRDefault="00170A11" w:rsidP="00883703">
      <w:pPr>
        <w:rPr>
          <w:rFonts w:hint="eastAsia"/>
        </w:rPr>
      </w:pPr>
      <w:r w:rsidRPr="00170A11">
        <w:rPr>
          <w:rFonts w:asciiTheme="minorHAnsi" w:hAnsiTheme="minorHAnsi" w:cstheme="minorBidi"/>
          <w:noProof/>
          <w:sz w:val="21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0" wp14:anchorId="7E42F594" wp14:editId="1E11FA62">
                <wp:simplePos x="0" y="0"/>
                <wp:positionH relativeFrom="margin">
                  <wp:align>left</wp:align>
                </wp:positionH>
                <wp:positionV relativeFrom="paragraph">
                  <wp:posOffset>552511</wp:posOffset>
                </wp:positionV>
                <wp:extent cx="5394325" cy="5283200"/>
                <wp:effectExtent l="0" t="0" r="15875" b="1270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325" cy="528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B8356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sz w:val="18"/>
                                <w:szCs w:val="18"/>
                                <w:lang w:eastAsia="en-GB"/>
                              </w:rPr>
                            </w:pPr>
                            <w:bookmarkStart w:id="0" w:name="_Hlk89819652"/>
                            <w:r w:rsidRPr="0095581E">
                              <w:rPr>
                                <w:sz w:val="18"/>
                                <w:szCs w:val="18"/>
                                <w:lang w:eastAsia="en-GB"/>
                              </w:rPr>
                              <w:t>Identify applicable and relevant deployment scenarios (RAN1).</w:t>
                            </w:r>
                          </w:p>
                          <w:p w14:paraId="221A598E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en-GB"/>
                              </w:rPr>
                              <w:t>Develop evaluation methodology for duplex enhancement (RAN1).</w:t>
                            </w:r>
                          </w:p>
                          <w:p w14:paraId="67EA51DC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eastAsia="DengXi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rFonts w:hint="eastAsia"/>
                                <w:sz w:val="18"/>
                                <w:szCs w:val="18"/>
                                <w:lang w:eastAsia="ko-KR"/>
                              </w:rPr>
                              <w:t xml:space="preserve">Study </w:t>
                            </w:r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the subband non-overlapping full duplex and </w:t>
                            </w:r>
                            <w:bookmarkStart w:id="1" w:name="_Hlk89796625"/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potential enhancements on </w:t>
                            </w:r>
                            <w:r w:rsidRPr="0095581E">
                              <w:rPr>
                                <w:bCs/>
                                <w:sz w:val="18"/>
                                <w:szCs w:val="18"/>
                                <w:lang w:eastAsia="ko-KR"/>
                              </w:rPr>
                              <w:t>dynamic/flexible TDD</w:t>
                            </w:r>
                            <w:bookmarkEnd w:id="1"/>
                            <w:r w:rsidRPr="0095581E">
                              <w:rPr>
                                <w:bCs/>
                                <w:sz w:val="18"/>
                                <w:szCs w:val="18"/>
                                <w:lang w:eastAsia="ko-KR"/>
                              </w:rPr>
                              <w:t xml:space="preserve"> (RAN1, RAN4).</w:t>
                            </w:r>
                          </w:p>
                          <w:p w14:paraId="23534462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eastAsia="DengXi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Identify possible schemes and evaluate their feasibility and performances (RAN1).</w:t>
                            </w:r>
                          </w:p>
                          <w:p w14:paraId="4C7326D0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eastAsia="DengXi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Study inter-gNB and inter-UE CLI handling and identify solutions to manage them (RAN1). </w:t>
                            </w:r>
                          </w:p>
                          <w:p w14:paraId="78A4D0C7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2"/>
                                <w:numId w:val="4"/>
                              </w:numPr>
                              <w:ind w:leftChars="0"/>
                              <w:rPr>
                                <w:rFonts w:eastAsia="DengXi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Consider intra-subband CLI and inter-subband CLI in case of the subband non-overlapping full duplex.</w:t>
                            </w:r>
                          </w:p>
                          <w:p w14:paraId="65EA4C9D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eastAsia="DengXi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Study the performance of the identified schemes as well as the impact on legacy operation assuming their co-existence in co-channel and adjacent channels (RAN1).</w:t>
                            </w:r>
                          </w:p>
                          <w:p w14:paraId="688A19A5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eastAsia="DengXi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Study the feasibility of and impact on RF requirements considering adjacent-channel co-existence with the legacy operation (RAN4).</w:t>
                            </w:r>
                          </w:p>
                          <w:p w14:paraId="1506BD63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eastAsia="DengXi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Study the feasibility of and impact on RF requirements considering the self-interference, the inter-subband CLI, and the inter-operator CLI at gNB and the inter-subband CLI and inter-operator CLI at UE (RAN4).</w:t>
                            </w:r>
                          </w:p>
                          <w:p w14:paraId="3E9C4EC4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rFonts w:eastAsia="DengXi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                </w:r>
                          </w:p>
                          <w:p w14:paraId="0D8679D7" w14:textId="77777777" w:rsidR="0095581E" w:rsidRPr="0095581E" w:rsidRDefault="0095581E" w:rsidP="0095581E">
                            <w:pPr>
                              <w:pStyle w:val="a3"/>
                              <w:numPr>
                                <w:ilvl w:val="1"/>
                                <w:numId w:val="4"/>
                              </w:numPr>
                              <w:ind w:leftChars="0"/>
                              <w:rPr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en-GB"/>
                              </w:rPr>
                              <w:t>Summarize the regulatory aspects that have to be considered for deploying the identified duplex enhancements in TDD unpaired spectrum (RAN4).</w:t>
                            </w:r>
                          </w:p>
                          <w:p w14:paraId="7AFCEF44" w14:textId="77777777" w:rsidR="0095581E" w:rsidRPr="0095581E" w:rsidRDefault="0095581E" w:rsidP="0095581E">
                            <w:pPr>
                              <w:rPr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95581E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Note: For potential enhancements on dynamic/flexible TDD, utilize the outcome of discussion in Rel-15 and Rel-16 while avoiding the repetition of the same discussion.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42F5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43.5pt;width:424.75pt;height:41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2pDgIAACAEAAAOAAAAZHJzL2Uyb0RvYy54bWysU9uOEzEMfUfiH6K80+kV2lGnq6VLEdJy&#10;kRY+wJPJdCIycUjSzpSvx0lnu+UiHhB5iOzYObaP7fVN32p2lM4rNAWfjMacSSOwUmZf8C+fdy+W&#10;nPkApgKNRhb8JD2/2Tx/tu5sLqfYoK6kYwRifN7Zgjch2DzLvGhkC36EVhoy1uhaCKS6fVY56Ai9&#10;1dl0PH6Zdegq61BI7+n17mzkm4Rf11KEj3XtZWC64JRbSLdLdxnvbLOGfO/ANkoMacA/ZNGCMhT0&#10;AnUHAdjBqd+gWiUceqzDSGCbYV0rIVMNVM1k/Es1Dw1YmWohcry90OT/H6z4cHywnxwL/WvsqYGp&#10;CG/vUXz1zOC2AbOXt85h10ioKPAkUpZ11ufD10i1z30EKbv3WFGT4RAwAfW1ayMrVCcjdGrA6UK6&#10;7AMT9LiYreaz6YIzQbbFdDmjtqYYkD9+t86HtxJbFoWCO+pqgofjvQ8xHcgfXWI0j1pVO6V1Uty+&#10;3GrHjkATsEtnQP/JTRvWFXy1oET+DjFO508QrQo0ylq1BV9enCCPvL0xVRq0AEqfZUpZm4HIyN2Z&#10;xdCXPTlGQkusTkSpw/PI0oqR0KD7zllH41pw/+0ATnKm3xlqy2oyn8f5Tsp88WpKiru2lNcWMIKg&#10;Ch44O4vbkHYilm7wltpXq0TsUyZDrjSGie9hZeKcX+vJ62mxNz8AAAD//wMAUEsDBBQABgAIAAAA&#10;IQBnUTHR3gAAAAcBAAAPAAAAZHJzL2Rvd25yZXYueG1sTI/BTsMwDIbvSLxDZCQuiKWDsbWl6YSQ&#10;QOwGA8E1a7y2InFKknXl7TEnOFnW/+vz52o9OStGDLH3pGA+y0AgNd701Cp4e324zEHEpMlo6wkV&#10;fGOEdX16UunS+CO94LhNrWAIxVIr6FIaSilj06HTceYHJM72PjideA2tNEEfGe6svMqypXS6J77Q&#10;6QHvO2w+twenIF88jR9xc/383iz3tkgXq/HxKyh1fjbd3YJIOKW/MvzqszrU7LTzBzJRWAX8SGLS&#10;iien+aK4AbFTUMyLDGRdyf/+9Q8AAAD//wMAUEsBAi0AFAAGAAgAAAAhALaDOJL+AAAA4QEAABMA&#10;AAAAAAAAAAAAAAAAAAAAAFtDb250ZW50X1R5cGVzXS54bWxQSwECLQAUAAYACAAAACEAOP0h/9YA&#10;AACUAQAACwAAAAAAAAAAAAAAAAAvAQAAX3JlbHMvLnJlbHNQSwECLQAUAAYACAAAACEARYNNqQ4C&#10;AAAgBAAADgAAAAAAAAAAAAAAAAAuAgAAZHJzL2Uyb0RvYy54bWxQSwECLQAUAAYACAAAACEAZ1Ex&#10;0d4AAAAHAQAADwAAAAAAAAAAAAAAAABoBAAAZHJzL2Rvd25yZXYueG1sUEsFBgAAAAAEAAQA8wAA&#10;AHMFAAAAAA==&#10;" o:allowoverlap="f">
                <v:textbox>
                  <w:txbxContent>
                    <w:p w14:paraId="6CEB8356" w14:textId="77777777" w:rsidR="0095581E" w:rsidRPr="0095581E" w:rsidRDefault="0095581E" w:rsidP="0095581E">
                      <w:pPr>
                        <w:pStyle w:val="a3"/>
                        <w:numPr>
                          <w:ilvl w:val="0"/>
                          <w:numId w:val="4"/>
                        </w:numPr>
                        <w:ind w:leftChars="0"/>
                        <w:rPr>
                          <w:sz w:val="18"/>
                          <w:szCs w:val="18"/>
                          <w:lang w:eastAsia="en-GB"/>
                        </w:rPr>
                      </w:pPr>
                      <w:bookmarkStart w:id="2" w:name="_Hlk89819652"/>
                      <w:r w:rsidRPr="0095581E">
                        <w:rPr>
                          <w:sz w:val="18"/>
                          <w:szCs w:val="18"/>
                          <w:lang w:eastAsia="en-GB"/>
                        </w:rPr>
                        <w:t>Identify applicable and relevant deployment scenarios (RAN1).</w:t>
                      </w:r>
                    </w:p>
                    <w:p w14:paraId="221A598E" w14:textId="77777777" w:rsidR="0095581E" w:rsidRPr="0095581E" w:rsidRDefault="0095581E" w:rsidP="0095581E">
                      <w:pPr>
                        <w:pStyle w:val="a3"/>
                        <w:numPr>
                          <w:ilvl w:val="0"/>
                          <w:numId w:val="4"/>
                        </w:numPr>
                        <w:ind w:leftChars="0"/>
                        <w:rPr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en-GB"/>
                        </w:rPr>
                        <w:t>Develop evaluation methodology for duplex enhancement (RAN1).</w:t>
                      </w:r>
                    </w:p>
                    <w:p w14:paraId="67EA51DC" w14:textId="77777777" w:rsidR="0095581E" w:rsidRPr="0095581E" w:rsidRDefault="0095581E" w:rsidP="0095581E">
                      <w:pPr>
                        <w:pStyle w:val="a3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eastAsia="DengXian"/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rFonts w:hint="eastAsia"/>
                          <w:sz w:val="18"/>
                          <w:szCs w:val="18"/>
                          <w:lang w:eastAsia="ko-KR"/>
                        </w:rPr>
                        <w:t xml:space="preserve">Study </w:t>
                      </w:r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 xml:space="preserve">the subband non-overlapping full duplex and </w:t>
                      </w:r>
                      <w:bookmarkStart w:id="3" w:name="_Hlk89796625"/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 xml:space="preserve">potential enhancements on </w:t>
                      </w:r>
                      <w:r w:rsidRPr="0095581E">
                        <w:rPr>
                          <w:bCs/>
                          <w:sz w:val="18"/>
                          <w:szCs w:val="18"/>
                          <w:lang w:eastAsia="ko-KR"/>
                        </w:rPr>
                        <w:t>dynamic/flexible TDD</w:t>
                      </w:r>
                      <w:bookmarkEnd w:id="3"/>
                      <w:r w:rsidRPr="0095581E">
                        <w:rPr>
                          <w:bCs/>
                          <w:sz w:val="18"/>
                          <w:szCs w:val="18"/>
                          <w:lang w:eastAsia="ko-KR"/>
                        </w:rPr>
                        <w:t xml:space="preserve"> (RAN1, RAN4).</w:t>
                      </w:r>
                    </w:p>
                    <w:p w14:paraId="23534462" w14:textId="77777777" w:rsidR="0095581E" w:rsidRPr="0095581E" w:rsidRDefault="0095581E" w:rsidP="0095581E">
                      <w:pPr>
                        <w:pStyle w:val="a3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eastAsia="DengXian"/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>Identify possible schemes and evaluate their feasibility and performances (RAN1).</w:t>
                      </w:r>
                    </w:p>
                    <w:p w14:paraId="4C7326D0" w14:textId="77777777" w:rsidR="0095581E" w:rsidRPr="0095581E" w:rsidRDefault="0095581E" w:rsidP="0095581E">
                      <w:pPr>
                        <w:pStyle w:val="a3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eastAsia="DengXian"/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 xml:space="preserve">Study inter-gNB and inter-UE CLI handling and identify solutions to manage them (RAN1). </w:t>
                      </w:r>
                    </w:p>
                    <w:p w14:paraId="78A4D0C7" w14:textId="77777777" w:rsidR="0095581E" w:rsidRPr="0095581E" w:rsidRDefault="0095581E" w:rsidP="0095581E">
                      <w:pPr>
                        <w:pStyle w:val="a3"/>
                        <w:numPr>
                          <w:ilvl w:val="2"/>
                          <w:numId w:val="4"/>
                        </w:numPr>
                        <w:ind w:leftChars="0"/>
                        <w:rPr>
                          <w:rFonts w:eastAsia="DengXian"/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>Consider intra-subband CLI and inter-subband CLI in case of the subband non-overlapping full duplex.</w:t>
                      </w:r>
                    </w:p>
                    <w:p w14:paraId="65EA4C9D" w14:textId="77777777" w:rsidR="0095581E" w:rsidRPr="0095581E" w:rsidRDefault="0095581E" w:rsidP="0095581E">
                      <w:pPr>
                        <w:pStyle w:val="a3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eastAsia="DengXian"/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>Study the performance of the identified schemes as well as the impact on legacy operation assuming their co-existence in co-channel and adjacent channels (RAN1).</w:t>
                      </w:r>
                    </w:p>
                    <w:p w14:paraId="688A19A5" w14:textId="77777777" w:rsidR="0095581E" w:rsidRPr="0095581E" w:rsidRDefault="0095581E" w:rsidP="0095581E">
                      <w:pPr>
                        <w:pStyle w:val="a3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eastAsia="DengXian"/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>Study the feasibility of and impact on RF requirements considering adjacent-channel co-existence with the legacy operation (RAN4).</w:t>
                      </w:r>
                    </w:p>
                    <w:p w14:paraId="1506BD63" w14:textId="77777777" w:rsidR="0095581E" w:rsidRPr="0095581E" w:rsidRDefault="0095581E" w:rsidP="0095581E">
                      <w:pPr>
                        <w:pStyle w:val="a3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eastAsia="DengXian"/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>Study the feasibility of and impact on RF requirements considering the self-interference, the inter-subband CLI, and the inter-operator CLI at gNB and the inter-subband CLI and inter-operator CLI at UE (RAN4).</w:t>
                      </w:r>
                    </w:p>
                    <w:p w14:paraId="3E9C4EC4" w14:textId="77777777" w:rsidR="0095581E" w:rsidRPr="0095581E" w:rsidRDefault="0095581E" w:rsidP="0095581E">
                      <w:pPr>
                        <w:pStyle w:val="a3"/>
                        <w:numPr>
                          <w:ilvl w:val="1"/>
                          <w:numId w:val="4"/>
                        </w:numPr>
                        <w:ind w:leftChars="0"/>
                        <w:rPr>
                          <w:rFonts w:eastAsia="DengXian"/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          </w:r>
                    </w:p>
                    <w:p w14:paraId="0D8679D7" w14:textId="77777777" w:rsidR="0095581E" w:rsidRPr="0095581E" w:rsidRDefault="0095581E" w:rsidP="0095581E">
                      <w:pPr>
                        <w:pStyle w:val="a3"/>
                        <w:numPr>
                          <w:ilvl w:val="1"/>
                          <w:numId w:val="4"/>
                        </w:numPr>
                        <w:ind w:leftChars="0"/>
                        <w:rPr>
                          <w:sz w:val="18"/>
                          <w:szCs w:val="18"/>
                          <w:lang w:eastAsia="en-GB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en-GB"/>
                        </w:rPr>
                        <w:t>Summarize the regulatory aspects that have to be considered for deploying the identified duplex enhancements in TDD unpaired spectrum (RAN4).</w:t>
                      </w:r>
                    </w:p>
                    <w:p w14:paraId="7AFCEF44" w14:textId="77777777" w:rsidR="0095581E" w:rsidRPr="0095581E" w:rsidRDefault="0095581E" w:rsidP="0095581E">
                      <w:pPr>
                        <w:rPr>
                          <w:sz w:val="18"/>
                          <w:szCs w:val="18"/>
                          <w:lang w:eastAsia="ko-KR"/>
                        </w:rPr>
                      </w:pPr>
                      <w:r w:rsidRPr="0095581E">
                        <w:rPr>
                          <w:sz w:val="18"/>
                          <w:szCs w:val="18"/>
                          <w:lang w:eastAsia="ko-KR"/>
                        </w:rPr>
                        <w:t xml:space="preserve">Note: For potential enhancements on dynamic/flexible TDD, utilize the outcome of discussion in Rel-15 and Rel-16 while avoiding the repetition of the same discussion. </w:t>
                      </w:r>
                      <w:bookmarkEnd w:id="2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844EB">
        <w:t xml:space="preserve">In RAN WG1 #109-e meeting, </w:t>
      </w:r>
      <w:r w:rsidR="00307857">
        <w:t xml:space="preserve">there were discussions about the potential scenarios and interference cancellation schemes according to the following objective in SID[1]: </w:t>
      </w:r>
    </w:p>
    <w:p w14:paraId="7B510707" w14:textId="44E19F29" w:rsidR="00170A11" w:rsidRDefault="00170A11" w:rsidP="00883703"/>
    <w:p w14:paraId="7A08E4FB" w14:textId="00774E7F" w:rsidR="00E844EB" w:rsidRDefault="004B7F04" w:rsidP="00883703">
      <w:r>
        <w:t xml:space="preserve">In previous RAN1 109-e meeting, regarding SBFD operation, the followings were agreed as the baseline of study. </w:t>
      </w:r>
    </w:p>
    <w:p w14:paraId="6EAB8FA3" w14:textId="4EE451F7" w:rsidR="004B7F04" w:rsidRDefault="004B7F04" w:rsidP="00883703">
      <w:pPr>
        <w:rPr>
          <w:lang w:eastAsia="ko-KR"/>
        </w:rPr>
      </w:pPr>
    </w:p>
    <w:p w14:paraId="58D6E1FF" w14:textId="4854AA0B" w:rsidR="009A4722" w:rsidRPr="009A4722" w:rsidRDefault="009A4722" w:rsidP="00883703">
      <w:pPr>
        <w:rPr>
          <w:highlight w:val="green"/>
          <w:lang w:eastAsia="ko-KR"/>
        </w:rPr>
      </w:pPr>
      <w:r w:rsidRPr="009A4722">
        <w:rPr>
          <w:highlight w:val="green"/>
          <w:lang w:eastAsia="ko-KR"/>
        </w:rPr>
        <w:t>Agreement</w:t>
      </w:r>
    </w:p>
    <w:p w14:paraId="46A8DDA9" w14:textId="06098D8C" w:rsidR="009A4722" w:rsidRPr="009A4722" w:rsidRDefault="009A4722" w:rsidP="00883703">
      <w:pPr>
        <w:rPr>
          <w:lang w:eastAsia="ko-KR"/>
        </w:rPr>
      </w:pPr>
      <w:r w:rsidRPr="009A4722">
        <w:rPr>
          <w:lang w:eastAsia="ko-KR"/>
        </w:rPr>
        <w:t>Study whether/how to inform the UE of the time and/or frequency location of subbands that gNB would use for SBFD operation.</w:t>
      </w:r>
    </w:p>
    <w:p w14:paraId="574C770F" w14:textId="518097F7" w:rsidR="009A4722" w:rsidRPr="009A4722" w:rsidRDefault="009A4722" w:rsidP="00883703">
      <w:pPr>
        <w:rPr>
          <w:lang w:eastAsia="ko-KR"/>
        </w:rPr>
      </w:pPr>
    </w:p>
    <w:p w14:paraId="2B804C0C" w14:textId="77777777" w:rsidR="009A4722" w:rsidRPr="009A4722" w:rsidRDefault="009A4722" w:rsidP="00883703">
      <w:pPr>
        <w:rPr>
          <w:highlight w:val="green"/>
          <w:lang w:eastAsia="ko-KR"/>
        </w:rPr>
      </w:pPr>
      <w:r w:rsidRPr="009A4722">
        <w:rPr>
          <w:highlight w:val="green"/>
          <w:lang w:eastAsia="ko-KR"/>
        </w:rPr>
        <w:t>Agreement</w:t>
      </w:r>
    </w:p>
    <w:p w14:paraId="73F23AC7" w14:textId="3DD76001" w:rsidR="009A4722" w:rsidRPr="009A4722" w:rsidRDefault="009A4722" w:rsidP="00883703">
      <w:pPr>
        <w:rPr>
          <w:lang w:eastAsia="ko-KR"/>
        </w:rPr>
      </w:pPr>
      <w:r w:rsidRPr="009A4722">
        <w:rPr>
          <w:lang w:eastAsia="ko-KR"/>
        </w:rPr>
        <w:t>Study the impact/potential enhancements of resource allocation in symbols with subbands that gNB would use for SBFD operation.</w:t>
      </w:r>
    </w:p>
    <w:p w14:paraId="2EC5DD01" w14:textId="77777777" w:rsidR="009A4722" w:rsidRPr="009A4722" w:rsidRDefault="009A4722" w:rsidP="00883703">
      <w:pPr>
        <w:rPr>
          <w:lang w:eastAsia="ko-KR"/>
        </w:rPr>
      </w:pPr>
    </w:p>
    <w:p w14:paraId="324CEB70" w14:textId="401A573E" w:rsidR="00765CB0" w:rsidRPr="00883703" w:rsidRDefault="004B7F04" w:rsidP="00883703">
      <w:pPr>
        <w:rPr>
          <w:rFonts w:hint="eastAsia"/>
        </w:rPr>
      </w:pPr>
      <w:r w:rsidRPr="00883703">
        <w:t>Based on the above agreement, SBFD operat</w:t>
      </w:r>
      <w:r w:rsidR="0095581E">
        <w:t>ion</w:t>
      </w:r>
      <w:r w:rsidRPr="00883703">
        <w:t xml:space="preserve"> should be </w:t>
      </w:r>
      <w:r w:rsidR="0095581E">
        <w:t xml:space="preserve">further </w:t>
      </w:r>
      <w:r w:rsidRPr="00883703">
        <w:t xml:space="preserve">discussed with consideration of the feasibility of interference mitigation techniques. </w:t>
      </w:r>
      <w:r w:rsidRPr="00883703">
        <w:rPr>
          <w:rFonts w:hint="eastAsia"/>
        </w:rPr>
        <w:t>I</w:t>
      </w:r>
      <w:r w:rsidRPr="00883703">
        <w:t>n this contribution, potential interference coordination schemes are discussed.</w:t>
      </w:r>
    </w:p>
    <w:p w14:paraId="7B24AB44" w14:textId="48CB47BD" w:rsidR="00E844EB" w:rsidRDefault="00E844EB" w:rsidP="00883703"/>
    <w:p w14:paraId="398BF733" w14:textId="1FCD6079" w:rsidR="00E844EB" w:rsidRDefault="00E844EB" w:rsidP="00883703">
      <w:pPr>
        <w:pStyle w:val="1"/>
      </w:pPr>
      <w:r>
        <w:rPr>
          <w:rFonts w:hint="eastAsia"/>
        </w:rPr>
        <w:t>2</w:t>
      </w:r>
      <w:r w:rsidR="00CC5167">
        <w:t>.</w:t>
      </w:r>
      <w:r>
        <w:t xml:space="preserve"> </w:t>
      </w:r>
      <w:r w:rsidR="00A347D8">
        <w:t>SBFD</w:t>
      </w:r>
      <w:r w:rsidR="00CC5167">
        <w:t xml:space="preserve"> Interference Mitigation Techniques</w:t>
      </w:r>
    </w:p>
    <w:p w14:paraId="28262A22" w14:textId="06A0E2E4" w:rsidR="007A1F39" w:rsidRDefault="007A1F39" w:rsidP="00883703">
      <w:r>
        <w:rPr>
          <w:noProof/>
        </w:rPr>
        <w:drawing>
          <wp:inline distT="0" distB="0" distL="0" distR="0" wp14:anchorId="5699B309" wp14:editId="040A4FF3">
            <wp:extent cx="5314154" cy="2827134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566" cy="284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AB236" w14:textId="6B7ED22B" w:rsidR="007A1F39" w:rsidRDefault="007A1F39" w:rsidP="00E52CBB">
      <w:pPr>
        <w:pStyle w:val="a4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 w:rsidR="00D531CF">
        <w:t xml:space="preserve"> Agreed </w:t>
      </w:r>
      <w:r w:rsidR="000056EA">
        <w:t>deployment</w:t>
      </w:r>
      <w:r w:rsidR="00D531CF">
        <w:t xml:space="preserve"> scenarios</w:t>
      </w:r>
    </w:p>
    <w:p w14:paraId="799D2AB9" w14:textId="1D7D060D" w:rsidR="007A1F39" w:rsidRDefault="007A1F39" w:rsidP="00883703"/>
    <w:p w14:paraId="605DEA86" w14:textId="5B4E7668" w:rsidR="007A1F39" w:rsidRDefault="007A1F39" w:rsidP="00883703"/>
    <w:p w14:paraId="595CFF7D" w14:textId="26255278" w:rsidR="00934619" w:rsidRDefault="004A7727" w:rsidP="00BA30E1">
      <w:pPr>
        <w:ind w:firstLineChars="50" w:firstLine="100"/>
      </w:pPr>
      <w:r>
        <w:t>In this section, we discuss potential interference mitigation techniques with consideration of the deployment scenarios agreed in the previous meeting.</w:t>
      </w:r>
      <w:r w:rsidR="00BA30E1">
        <w:rPr>
          <w:rFonts w:hint="eastAsia"/>
        </w:rPr>
        <w:t xml:space="preserve"> </w:t>
      </w:r>
      <w:r w:rsidR="00D531CF">
        <w:rPr>
          <w:rFonts w:hint="eastAsia"/>
        </w:rPr>
        <w:t>I</w:t>
      </w:r>
      <w:r w:rsidR="00D531CF">
        <w:t>n RAN1 109-</w:t>
      </w:r>
      <w:r w:rsidR="000056EA">
        <w:t>e</w:t>
      </w:r>
      <w:r w:rsidR="00D531CF">
        <w:t xml:space="preserve"> meetings, </w:t>
      </w:r>
      <w:r w:rsidR="000056EA">
        <w:t>deployment</w:t>
      </w:r>
      <w:r w:rsidR="00D531CF">
        <w:t xml:space="preserve"> scenarios depicted in Figure 1 are agreed for study purpose. </w:t>
      </w:r>
      <w:r w:rsidR="00642950">
        <w:t>2 types of interference are discussed in the meeting: Self-</w:t>
      </w:r>
      <w:r w:rsidR="00642950">
        <w:lastRenderedPageBreak/>
        <w:t xml:space="preserve">interference and </w:t>
      </w:r>
      <w:r w:rsidR="000056EA">
        <w:t>Cross-link interference (CLI)</w:t>
      </w:r>
      <w:r w:rsidR="00642950">
        <w:t xml:space="preserve">. </w:t>
      </w:r>
    </w:p>
    <w:p w14:paraId="3D2D904C" w14:textId="32B0154F" w:rsidR="00934619" w:rsidRDefault="00934619" w:rsidP="00BA30E1">
      <w:pPr>
        <w:ind w:firstLineChars="50" w:firstLine="100"/>
      </w:pPr>
      <w:r>
        <w:t>Self-interference happens in all the SBFD-configured gNBs. In previous meetings</w:t>
      </w:r>
      <w:r w:rsidR="00CF77E2">
        <w:t>,</w:t>
      </w:r>
      <w:r>
        <w:t xml:space="preserve"> the following techniques were </w:t>
      </w:r>
      <w:r w:rsidR="005A14F8">
        <w:t>proposed</w:t>
      </w:r>
      <w:r w:rsidR="00CF77E2">
        <w:t xml:space="preserve"> </w:t>
      </w:r>
      <w:r w:rsidR="00CF77E2">
        <w:t xml:space="preserve">as </w:t>
      </w:r>
      <w:r w:rsidR="00CF77E2">
        <w:t xml:space="preserve">examples of </w:t>
      </w:r>
      <w:r w:rsidR="00CF77E2">
        <w:t xml:space="preserve">interference mitigation </w:t>
      </w:r>
      <w:r w:rsidR="009C5C33">
        <w:t>techniques:</w:t>
      </w:r>
    </w:p>
    <w:p w14:paraId="41CB2275" w14:textId="77777777" w:rsidR="00EF34C5" w:rsidRPr="00EF34C5" w:rsidRDefault="00EF34C5" w:rsidP="00883703">
      <w:pPr>
        <w:pStyle w:val="a3"/>
        <w:numPr>
          <w:ilvl w:val="0"/>
          <w:numId w:val="6"/>
        </w:numPr>
        <w:ind w:leftChars="0"/>
      </w:pPr>
      <w:r w:rsidRPr="00EF34C5">
        <w:t>Spatial isolation</w:t>
      </w:r>
    </w:p>
    <w:p w14:paraId="28F5A711" w14:textId="77777777" w:rsidR="00EF34C5" w:rsidRPr="00EF34C5" w:rsidRDefault="00EF34C5" w:rsidP="00883703">
      <w:pPr>
        <w:pStyle w:val="a3"/>
        <w:numPr>
          <w:ilvl w:val="0"/>
          <w:numId w:val="6"/>
        </w:numPr>
        <w:ind w:leftChars="0"/>
      </w:pPr>
      <w:r w:rsidRPr="00EF34C5">
        <w:t>Frequency isolation</w:t>
      </w:r>
    </w:p>
    <w:p w14:paraId="7316F25E" w14:textId="77777777" w:rsidR="00EF34C5" w:rsidRPr="00EF34C5" w:rsidRDefault="00EF34C5" w:rsidP="00883703">
      <w:pPr>
        <w:pStyle w:val="a3"/>
        <w:numPr>
          <w:ilvl w:val="0"/>
          <w:numId w:val="6"/>
        </w:numPr>
        <w:ind w:leftChars="0"/>
      </w:pPr>
      <w:r w:rsidRPr="00EF34C5">
        <w:t>Rx filtering</w:t>
      </w:r>
    </w:p>
    <w:p w14:paraId="525CED05" w14:textId="77777777" w:rsidR="00EF34C5" w:rsidRPr="00EF34C5" w:rsidRDefault="00EF34C5" w:rsidP="00883703">
      <w:pPr>
        <w:pStyle w:val="a3"/>
        <w:numPr>
          <w:ilvl w:val="0"/>
          <w:numId w:val="6"/>
        </w:numPr>
        <w:ind w:leftChars="0"/>
      </w:pPr>
      <w:r w:rsidRPr="00EF34C5">
        <w:t>Beam isolation and beamforming/nulling</w:t>
      </w:r>
    </w:p>
    <w:p w14:paraId="5D52813E" w14:textId="0C4E6D9F" w:rsidR="00934619" w:rsidRDefault="00EF34C5" w:rsidP="00883703">
      <w:pPr>
        <w:pStyle w:val="a3"/>
        <w:numPr>
          <w:ilvl w:val="0"/>
          <w:numId w:val="6"/>
        </w:numPr>
        <w:ind w:leftChars="0"/>
      </w:pPr>
      <w:r w:rsidRPr="00EF34C5">
        <w:t>Digital self-interference mitigation</w:t>
      </w:r>
    </w:p>
    <w:p w14:paraId="37D022F0" w14:textId="2BB9E375" w:rsidR="00EF34C5" w:rsidRDefault="00EF34C5" w:rsidP="00883703"/>
    <w:p w14:paraId="1557B6BB" w14:textId="282E3884" w:rsidR="00EF34C5" w:rsidRDefault="00EF34C5" w:rsidP="0095581E">
      <w:r>
        <w:t xml:space="preserve">Regarding the techniques above, we believe the feasibility can be studied mainly in RAN4. </w:t>
      </w:r>
      <w:r w:rsidR="002721F2">
        <w:t>We think RAN1 should wait for RAN4 analysis about the feasibility. RAN1 can proceed further feasibility study based on inputs from RAN4.</w:t>
      </w:r>
      <w:r w:rsidR="008D639C">
        <w:t xml:space="preserve"> </w:t>
      </w:r>
    </w:p>
    <w:p w14:paraId="55858942" w14:textId="5EE73024" w:rsidR="002721F2" w:rsidRPr="00494E93" w:rsidRDefault="002721F2" w:rsidP="00883703"/>
    <w:p w14:paraId="662EBBF4" w14:textId="549DA96A" w:rsidR="002721F2" w:rsidRDefault="002721F2" w:rsidP="00883703">
      <w:r w:rsidRPr="006F78CB">
        <w:rPr>
          <w:rFonts w:hint="eastAsia"/>
          <w:b/>
          <w:bCs/>
          <w:u w:val="single"/>
        </w:rPr>
        <w:t>O</w:t>
      </w:r>
      <w:r w:rsidRPr="006F78CB">
        <w:rPr>
          <w:b/>
          <w:bCs/>
          <w:u w:val="single"/>
        </w:rPr>
        <w:t>bservation 1</w:t>
      </w:r>
      <w:r>
        <w:t xml:space="preserve"> </w:t>
      </w:r>
      <w:r>
        <w:br/>
      </w:r>
      <w:r w:rsidR="00FA6CA2">
        <w:t>Feasibility of s</w:t>
      </w:r>
      <w:r w:rsidR="006F78CB">
        <w:t xml:space="preserve">elf-interference mitigation </w:t>
      </w:r>
      <w:r w:rsidR="00FA6CA2">
        <w:t>techniques need to be studied in RAN4 before detailed study in RAN1.</w:t>
      </w:r>
    </w:p>
    <w:p w14:paraId="48461D65" w14:textId="45704C62" w:rsidR="002721F2" w:rsidRDefault="002721F2" w:rsidP="00883703">
      <w:r w:rsidRPr="006F78CB">
        <w:rPr>
          <w:rFonts w:hint="eastAsia"/>
          <w:b/>
          <w:bCs/>
          <w:u w:val="single"/>
        </w:rPr>
        <w:t>P</w:t>
      </w:r>
      <w:r w:rsidRPr="006F78CB">
        <w:rPr>
          <w:b/>
          <w:bCs/>
          <w:u w:val="single"/>
        </w:rPr>
        <w:t>roposal 1</w:t>
      </w:r>
      <w:r>
        <w:t xml:space="preserve"> </w:t>
      </w:r>
      <w:r w:rsidR="006F78CB">
        <w:br/>
        <w:t>For self-interference mitigation study, send LS to RAN4 to ask feasibility of the candidate techniques.</w:t>
      </w:r>
    </w:p>
    <w:p w14:paraId="1C7F68E1" w14:textId="77777777" w:rsidR="002721F2" w:rsidRPr="00EF34C5" w:rsidRDefault="002721F2" w:rsidP="00883703"/>
    <w:p w14:paraId="6A560976" w14:textId="31073227" w:rsidR="008B3BD8" w:rsidRDefault="00642950" w:rsidP="00883703">
      <w:r>
        <w:t>CLI</w:t>
      </w:r>
      <w:r w:rsidR="000056EA">
        <w:t xml:space="preserve"> basically </w:t>
      </w:r>
      <w:r w:rsidR="00140381">
        <w:t>becomes severe when</w:t>
      </w:r>
      <w:r w:rsidR="000056EA">
        <w:t xml:space="preserve"> there is an inconsistency of the UL/DL resources among different gNBs. Such cases are considered in deployment cases 2, 3-1, 3-2, and 4. </w:t>
      </w:r>
      <w:r w:rsidR="001D296E">
        <w:t>In previous meeting the following techniques are proposed at least as candidate techniques:</w:t>
      </w:r>
    </w:p>
    <w:p w14:paraId="68B33EA7" w14:textId="77777777" w:rsidR="001D296E" w:rsidRPr="001D296E" w:rsidRDefault="001D296E" w:rsidP="00883703">
      <w:pPr>
        <w:pStyle w:val="a3"/>
        <w:numPr>
          <w:ilvl w:val="0"/>
          <w:numId w:val="7"/>
        </w:numPr>
        <w:ind w:leftChars="0"/>
      </w:pPr>
      <w:r w:rsidRPr="001D296E">
        <w:t>Inter-UE CLI mitigation</w:t>
      </w:r>
    </w:p>
    <w:p w14:paraId="3F776CBA" w14:textId="77777777" w:rsidR="001D296E" w:rsidRPr="001D296E" w:rsidRDefault="001D296E" w:rsidP="00883703">
      <w:pPr>
        <w:pStyle w:val="a3"/>
        <w:numPr>
          <w:ilvl w:val="0"/>
          <w:numId w:val="7"/>
        </w:numPr>
        <w:ind w:leftChars="0"/>
      </w:pPr>
      <w:r w:rsidRPr="001D296E">
        <w:t>Apply Rel-16 CLI framework</w:t>
      </w:r>
    </w:p>
    <w:p w14:paraId="6392F02A" w14:textId="77777777" w:rsidR="001D296E" w:rsidRPr="001D296E" w:rsidRDefault="001D296E" w:rsidP="00883703">
      <w:pPr>
        <w:pStyle w:val="a3"/>
        <w:numPr>
          <w:ilvl w:val="0"/>
          <w:numId w:val="7"/>
        </w:numPr>
        <w:ind w:leftChars="0"/>
      </w:pPr>
      <w:r w:rsidRPr="001D296E">
        <w:t>Inter-gNB cross-link interference mitigation</w:t>
      </w:r>
    </w:p>
    <w:p w14:paraId="171457DF" w14:textId="77777777" w:rsidR="001D296E" w:rsidRPr="001D296E" w:rsidRDefault="001D296E" w:rsidP="00883703">
      <w:pPr>
        <w:pStyle w:val="a3"/>
        <w:numPr>
          <w:ilvl w:val="0"/>
          <w:numId w:val="7"/>
        </w:numPr>
        <w:ind w:leftChars="0"/>
      </w:pPr>
      <w:r w:rsidRPr="001D296E">
        <w:t>Rel-16 RIM (Remote Interference Management)</w:t>
      </w:r>
    </w:p>
    <w:p w14:paraId="5170BE2B" w14:textId="027BCCF9" w:rsidR="001D296E" w:rsidRPr="001D296E" w:rsidRDefault="001D296E" w:rsidP="00883703">
      <w:pPr>
        <w:pStyle w:val="a3"/>
        <w:numPr>
          <w:ilvl w:val="0"/>
          <w:numId w:val="7"/>
        </w:numPr>
        <w:ind w:leftChars="0"/>
      </w:pPr>
      <w:r w:rsidRPr="001D296E">
        <w:t>Inter-gNB coordination to reduce CLI</w:t>
      </w:r>
    </w:p>
    <w:p w14:paraId="29973947" w14:textId="53F90227" w:rsidR="00D531CF" w:rsidRDefault="00D531CF" w:rsidP="00883703"/>
    <w:p w14:paraId="5DC357F1" w14:textId="71C59F36" w:rsidR="00B87902" w:rsidRDefault="00DF3A00" w:rsidP="00883703">
      <w:r>
        <w:rPr>
          <w:rFonts w:hint="eastAsia"/>
        </w:rPr>
        <w:t>R</w:t>
      </w:r>
      <w:r>
        <w:t xml:space="preserve">el-16 RIM framework is introduced to detect remote interference due to radio duct. In our understanding, in Rel-16 RIM, there is no consideration of the beam management. </w:t>
      </w:r>
      <w:r w:rsidR="00DC230D">
        <w:t xml:space="preserve">Therefore, Rel-16 based RIM procedure may not be sufficient to detect interference in the environment with beam management. </w:t>
      </w:r>
      <w:r w:rsidR="001462AC">
        <w:t xml:space="preserve">With the awareness of the above restriction of Rel-16 RIM, the current RIM framework is usable to detect general interference from other gNBs. Therefore, current specification for RIM should be utilized as much as possible, to reduce the standardization effort. </w:t>
      </w:r>
    </w:p>
    <w:p w14:paraId="73876D91" w14:textId="401E4331" w:rsidR="002F4743" w:rsidRDefault="002F4743" w:rsidP="00883703"/>
    <w:p w14:paraId="59D6BE88" w14:textId="1E585794" w:rsidR="00D95837" w:rsidRDefault="006A7633" w:rsidP="00883703">
      <w:r w:rsidRPr="00D95837">
        <w:rPr>
          <w:rFonts w:hint="eastAsia"/>
          <w:b/>
          <w:bCs/>
          <w:u w:val="single"/>
        </w:rPr>
        <w:t>O</w:t>
      </w:r>
      <w:r w:rsidRPr="00D95837">
        <w:rPr>
          <w:b/>
          <w:bCs/>
          <w:u w:val="single"/>
        </w:rPr>
        <w:t xml:space="preserve">bservation </w:t>
      </w:r>
      <w:r w:rsidR="00D95837" w:rsidRPr="00D95837">
        <w:rPr>
          <w:b/>
          <w:bCs/>
          <w:u w:val="single"/>
        </w:rPr>
        <w:t>2</w:t>
      </w:r>
      <w:r w:rsidR="00D95837">
        <w:br/>
      </w:r>
      <w:r w:rsidR="00D95837">
        <w:lastRenderedPageBreak/>
        <w:t>Rel-16 RIM feasibility needs to be checked especially in environment with beam management.</w:t>
      </w:r>
    </w:p>
    <w:p w14:paraId="360F1563" w14:textId="7F777496" w:rsidR="006A7633" w:rsidRPr="00883703" w:rsidRDefault="006A7633" w:rsidP="00883703">
      <w:pPr>
        <w:rPr>
          <w:b/>
          <w:bCs/>
          <w:u w:val="single"/>
        </w:rPr>
      </w:pPr>
      <w:r w:rsidRPr="00883703">
        <w:rPr>
          <w:b/>
          <w:bCs/>
          <w:u w:val="single"/>
        </w:rPr>
        <w:t>Proposal 2</w:t>
      </w:r>
    </w:p>
    <w:p w14:paraId="63611D1A" w14:textId="4CB961B4" w:rsidR="00C46E39" w:rsidRDefault="00C46E39" w:rsidP="00883703">
      <w:r>
        <w:rPr>
          <w:rFonts w:hint="eastAsia"/>
        </w:rPr>
        <w:t>D</w:t>
      </w:r>
      <w:r>
        <w:t xml:space="preserve">iscuss further </w:t>
      </w:r>
      <w:r w:rsidR="006A7633">
        <w:t xml:space="preserve">about </w:t>
      </w:r>
      <w:r>
        <w:t>whether Rel-16 RIM framework is sufficient for interference measurement</w:t>
      </w:r>
      <w:r w:rsidR="00DD508F">
        <w:t xml:space="preserve"> or not</w:t>
      </w:r>
      <w:r w:rsidR="006A7633">
        <w:t>, and possible enhancements, if necessary.</w:t>
      </w:r>
    </w:p>
    <w:p w14:paraId="45EB191E" w14:textId="77777777" w:rsidR="00C46E39" w:rsidRDefault="00C46E39" w:rsidP="00883703"/>
    <w:p w14:paraId="2A74CA3E" w14:textId="77777777" w:rsidR="00257DF5" w:rsidRDefault="00257DF5" w:rsidP="00883703">
      <w:r>
        <w:rPr>
          <w:rFonts w:hint="eastAsia"/>
        </w:rPr>
        <w:t>R</w:t>
      </w:r>
      <w:r>
        <w:t>egarding Rel-16 CLI reporting framework, it can be generally one of the baseline schemes to measure CLI. However, there are several points that could be enhanced from Rel-16 framework.</w:t>
      </w:r>
    </w:p>
    <w:p w14:paraId="38AF18AA" w14:textId="75C08662" w:rsidR="00CC5167" w:rsidRDefault="00EF0557" w:rsidP="00883703">
      <w:pPr>
        <w:pStyle w:val="a3"/>
        <w:numPr>
          <w:ilvl w:val="0"/>
          <w:numId w:val="8"/>
        </w:numPr>
        <w:ind w:leftChars="0"/>
      </w:pPr>
      <w:r>
        <w:t>L1/L2 framework to report CLI</w:t>
      </w:r>
      <w:r>
        <w:br/>
      </w:r>
      <w:r w:rsidR="00257DF5" w:rsidRPr="00257DF5">
        <w:t xml:space="preserve">Since </w:t>
      </w:r>
      <w:r>
        <w:t>Rel-16 CLI reporting</w:t>
      </w:r>
      <w:r w:rsidR="00257DF5" w:rsidRPr="00257DF5">
        <w:t xml:space="preserve"> is based on L3 signaling, it may not be applicable to dynamic framework of the SBFD operation</w:t>
      </w:r>
      <w:r>
        <w:t>, if agreed to study.</w:t>
      </w:r>
    </w:p>
    <w:p w14:paraId="75F04719" w14:textId="478340B6" w:rsidR="00EF0557" w:rsidRDefault="0078415B" w:rsidP="00883703">
      <w:pPr>
        <w:pStyle w:val="a3"/>
        <w:numPr>
          <w:ilvl w:val="0"/>
          <w:numId w:val="8"/>
        </w:numPr>
        <w:ind w:leftChars="0"/>
      </w:pPr>
      <w:r>
        <w:t>Finer granularity measurement</w:t>
      </w:r>
    </w:p>
    <w:p w14:paraId="11566368" w14:textId="0835E2DF" w:rsidR="0078415B" w:rsidRDefault="0078415B" w:rsidP="00883703">
      <w:pPr>
        <w:pStyle w:val="a3"/>
        <w:numPr>
          <w:ilvl w:val="1"/>
          <w:numId w:val="8"/>
        </w:numPr>
        <w:ind w:leftChars="0"/>
      </w:pPr>
      <w:r>
        <w:t>Beam based measurement</w:t>
      </w:r>
      <w:r w:rsidR="00234506">
        <w:br/>
        <w:t xml:space="preserve">Rel-16 CLI measurement scheme does not support </w:t>
      </w:r>
      <w:r w:rsidR="00BE52E4">
        <w:t xml:space="preserve">Rx beam aware measurement (QCL-type D). </w:t>
      </w:r>
      <w:r w:rsidR="006A5C6B">
        <w:t>In order to realize CLI avoidance based on beam management, channel measurement with consideration of beam management can be studied.</w:t>
      </w:r>
    </w:p>
    <w:p w14:paraId="3C8BDDBC" w14:textId="29B3CEFF" w:rsidR="0078415B" w:rsidRPr="0078415B" w:rsidRDefault="0078415B" w:rsidP="00883703">
      <w:pPr>
        <w:pStyle w:val="a3"/>
        <w:numPr>
          <w:ilvl w:val="1"/>
          <w:numId w:val="8"/>
        </w:numPr>
        <w:ind w:leftChars="0"/>
      </w:pPr>
      <w:r>
        <w:t>CLI measurement aligned with SBFD configuration</w:t>
      </w:r>
      <w:r w:rsidR="006A5C6B">
        <w:br/>
        <w:t>For better handling of CLI measurement, channel measurement resources can be adjusted according to the configuration of SBFD at aggressor/victim gNB.</w:t>
      </w:r>
    </w:p>
    <w:p w14:paraId="29D3C80F" w14:textId="7218C847" w:rsidR="009A5B31" w:rsidRDefault="009A5B31" w:rsidP="00883703"/>
    <w:p w14:paraId="3BC83C1C" w14:textId="0AD10234" w:rsidR="006A5C6B" w:rsidRPr="00883703" w:rsidRDefault="00FA0B73" w:rsidP="00883703">
      <w:pPr>
        <w:rPr>
          <w:b/>
          <w:bCs/>
          <w:u w:val="single"/>
        </w:rPr>
      </w:pPr>
      <w:r w:rsidRPr="00883703">
        <w:rPr>
          <w:rFonts w:hint="eastAsia"/>
          <w:b/>
          <w:bCs/>
          <w:u w:val="single"/>
        </w:rPr>
        <w:t>P</w:t>
      </w:r>
      <w:r w:rsidRPr="00883703">
        <w:rPr>
          <w:b/>
          <w:bCs/>
          <w:u w:val="single"/>
        </w:rPr>
        <w:t>roposal 3</w:t>
      </w:r>
    </w:p>
    <w:p w14:paraId="0F4E4DB9" w14:textId="08E8EB31" w:rsidR="00FA0B73" w:rsidRDefault="00FA0B73" w:rsidP="00883703">
      <w:r>
        <w:rPr>
          <w:rFonts w:hint="eastAsia"/>
        </w:rPr>
        <w:t>S</w:t>
      </w:r>
      <w:r>
        <w:t>tudy potential enhancements based on Rel-16 CLI measurement scheme.</w:t>
      </w:r>
    </w:p>
    <w:p w14:paraId="6A9376DD" w14:textId="41CD61EA" w:rsidR="00FA0B73" w:rsidRPr="00883703" w:rsidRDefault="00FA0B73" w:rsidP="00883703">
      <w:pPr>
        <w:rPr>
          <w:b/>
          <w:bCs/>
          <w:u w:val="single"/>
        </w:rPr>
      </w:pPr>
      <w:r w:rsidRPr="00883703">
        <w:rPr>
          <w:rFonts w:hint="eastAsia"/>
          <w:b/>
          <w:bCs/>
          <w:u w:val="single"/>
        </w:rPr>
        <w:t>P</w:t>
      </w:r>
      <w:r w:rsidRPr="00883703">
        <w:rPr>
          <w:b/>
          <w:bCs/>
          <w:u w:val="single"/>
        </w:rPr>
        <w:t>roposal 4</w:t>
      </w:r>
    </w:p>
    <w:p w14:paraId="7F322226" w14:textId="700D54F8" w:rsidR="00FA0B73" w:rsidRDefault="00FA0B73" w:rsidP="00883703">
      <w:r>
        <w:t>L1/L2 framework to repot CLI measurement can be studied.</w:t>
      </w:r>
    </w:p>
    <w:p w14:paraId="4A819B6A" w14:textId="51D671BE" w:rsidR="00FA0B73" w:rsidRPr="00883703" w:rsidRDefault="00FA0B73" w:rsidP="00883703">
      <w:pPr>
        <w:rPr>
          <w:b/>
          <w:bCs/>
          <w:u w:val="single"/>
        </w:rPr>
      </w:pPr>
      <w:r w:rsidRPr="00883703">
        <w:rPr>
          <w:rFonts w:hint="eastAsia"/>
          <w:b/>
          <w:bCs/>
          <w:u w:val="single"/>
        </w:rPr>
        <w:t>P</w:t>
      </w:r>
      <w:r w:rsidRPr="00883703">
        <w:rPr>
          <w:b/>
          <w:bCs/>
          <w:u w:val="single"/>
        </w:rPr>
        <w:t>roposal 5</w:t>
      </w:r>
    </w:p>
    <w:p w14:paraId="2AD65C0B" w14:textId="1A99C3B5" w:rsidR="00FA0B73" w:rsidRDefault="00FA0B73" w:rsidP="00883703">
      <w:r>
        <w:rPr>
          <w:rFonts w:hint="eastAsia"/>
        </w:rPr>
        <w:t>F</w:t>
      </w:r>
      <w:r>
        <w:t>iner granularity measurement of CLI measurement in terms of awareness of Rx beam and/or SBFD configuration can be studied.</w:t>
      </w:r>
    </w:p>
    <w:p w14:paraId="17F5A570" w14:textId="77777777" w:rsidR="00FA0B73" w:rsidRPr="006A5C6B" w:rsidRDefault="00FA0B73" w:rsidP="00883703"/>
    <w:p w14:paraId="16DDCEB0" w14:textId="564EFA1F" w:rsidR="009A5B31" w:rsidRPr="00FA0B73" w:rsidRDefault="009A5B31" w:rsidP="00883703"/>
    <w:p w14:paraId="55F8853D" w14:textId="0A76AB55" w:rsidR="00CC5167" w:rsidRPr="00CC5167" w:rsidRDefault="00CC5167" w:rsidP="00883703">
      <w:pPr>
        <w:pStyle w:val="1"/>
      </w:pPr>
      <w:r>
        <w:rPr>
          <w:rFonts w:hint="eastAsia"/>
        </w:rPr>
        <w:t>3</w:t>
      </w:r>
      <w:r>
        <w:t>. Conclusion</w:t>
      </w:r>
    </w:p>
    <w:p w14:paraId="659B76F2" w14:textId="7749D06C" w:rsidR="004809DB" w:rsidRDefault="00FA0B73" w:rsidP="00883703">
      <w:r>
        <w:t xml:space="preserve">In this contribution, we have discussed potential </w:t>
      </w:r>
      <w:r w:rsidR="0095671C">
        <w:t>self-interference/</w:t>
      </w:r>
      <w:r>
        <w:t>CLI mitigation s</w:t>
      </w:r>
      <w:r w:rsidR="0095671C">
        <w:t>c</w:t>
      </w:r>
      <w:r>
        <w:t xml:space="preserve">hemes for </w:t>
      </w:r>
      <w:r w:rsidR="0095671C">
        <w:t>future study.</w:t>
      </w:r>
    </w:p>
    <w:p w14:paraId="279C3599" w14:textId="77777777" w:rsidR="0095671C" w:rsidRDefault="0095671C" w:rsidP="00883703">
      <w:r w:rsidRPr="006F78CB">
        <w:rPr>
          <w:rFonts w:hint="eastAsia"/>
          <w:b/>
          <w:bCs/>
          <w:u w:val="single"/>
        </w:rPr>
        <w:t>O</w:t>
      </w:r>
      <w:r w:rsidRPr="006F78CB">
        <w:rPr>
          <w:b/>
          <w:bCs/>
          <w:u w:val="single"/>
        </w:rPr>
        <w:t>bservation 1</w:t>
      </w:r>
      <w:r>
        <w:t xml:space="preserve"> </w:t>
      </w:r>
      <w:r>
        <w:br/>
        <w:t>Feasibility of self-interference mitigation techniques need to be studied in RAN4 before detailed study in RAN1.</w:t>
      </w:r>
    </w:p>
    <w:p w14:paraId="2EC0F28B" w14:textId="77777777" w:rsidR="0095671C" w:rsidRDefault="0095671C" w:rsidP="00883703">
      <w:r w:rsidRPr="006F78CB">
        <w:rPr>
          <w:rFonts w:hint="eastAsia"/>
          <w:b/>
          <w:bCs/>
          <w:u w:val="single"/>
        </w:rPr>
        <w:t>P</w:t>
      </w:r>
      <w:r w:rsidRPr="006F78CB">
        <w:rPr>
          <w:b/>
          <w:bCs/>
          <w:u w:val="single"/>
        </w:rPr>
        <w:t>roposal 1</w:t>
      </w:r>
      <w:r>
        <w:t xml:space="preserve"> </w:t>
      </w:r>
      <w:r>
        <w:br/>
        <w:t>For self-interference mitigation study, send LS to RAN4 to ask feasibility of the candidate techniques.</w:t>
      </w:r>
    </w:p>
    <w:p w14:paraId="4A59FB1F" w14:textId="77777777" w:rsidR="0095671C" w:rsidRDefault="0095671C" w:rsidP="00883703">
      <w:r w:rsidRPr="00D95837">
        <w:rPr>
          <w:rFonts w:hint="eastAsia"/>
          <w:b/>
          <w:bCs/>
          <w:u w:val="single"/>
        </w:rPr>
        <w:t>O</w:t>
      </w:r>
      <w:r w:rsidRPr="00D95837">
        <w:rPr>
          <w:b/>
          <w:bCs/>
          <w:u w:val="single"/>
        </w:rPr>
        <w:t>bservation 2</w:t>
      </w:r>
      <w:r>
        <w:br/>
      </w:r>
      <w:r>
        <w:lastRenderedPageBreak/>
        <w:t>Rel-16 RIM feasibility needs to be checked especially in environment with beam management.</w:t>
      </w:r>
    </w:p>
    <w:p w14:paraId="7903C04E" w14:textId="77777777" w:rsidR="0095671C" w:rsidRPr="00883703" w:rsidRDefault="0095671C" w:rsidP="00883703">
      <w:pPr>
        <w:rPr>
          <w:b/>
          <w:bCs/>
          <w:u w:val="single"/>
        </w:rPr>
      </w:pPr>
      <w:r w:rsidRPr="00883703">
        <w:rPr>
          <w:b/>
          <w:bCs/>
          <w:u w:val="single"/>
        </w:rPr>
        <w:t>Proposal 2</w:t>
      </w:r>
    </w:p>
    <w:p w14:paraId="1FF56DB1" w14:textId="77777777" w:rsidR="0095671C" w:rsidRDefault="0095671C" w:rsidP="00883703">
      <w:r>
        <w:rPr>
          <w:rFonts w:hint="eastAsia"/>
        </w:rPr>
        <w:t>D</w:t>
      </w:r>
      <w:r>
        <w:t>iscuss further about whether Rel-16 RIM framework is sufficient for interference measurement, and possible enhancements, if necessary.</w:t>
      </w:r>
    </w:p>
    <w:p w14:paraId="6FDA6401" w14:textId="77777777" w:rsidR="0095671C" w:rsidRPr="00883703" w:rsidRDefault="0095671C" w:rsidP="00883703">
      <w:pPr>
        <w:rPr>
          <w:b/>
          <w:bCs/>
          <w:u w:val="single"/>
        </w:rPr>
      </w:pPr>
      <w:r w:rsidRPr="00883703">
        <w:rPr>
          <w:rFonts w:hint="eastAsia"/>
          <w:b/>
          <w:bCs/>
          <w:u w:val="single"/>
        </w:rPr>
        <w:t>P</w:t>
      </w:r>
      <w:r w:rsidRPr="00883703">
        <w:rPr>
          <w:b/>
          <w:bCs/>
          <w:u w:val="single"/>
        </w:rPr>
        <w:t>roposal 3</w:t>
      </w:r>
    </w:p>
    <w:p w14:paraId="283B6EB1" w14:textId="77777777" w:rsidR="0095671C" w:rsidRDefault="0095671C" w:rsidP="00883703">
      <w:r>
        <w:rPr>
          <w:rFonts w:hint="eastAsia"/>
        </w:rPr>
        <w:t>S</w:t>
      </w:r>
      <w:r>
        <w:t>tudy potential enhancements based on Rel-16 CLI measurement scheme.</w:t>
      </w:r>
    </w:p>
    <w:p w14:paraId="0B1242F6" w14:textId="77777777" w:rsidR="0095671C" w:rsidRPr="00883703" w:rsidRDefault="0095671C" w:rsidP="00883703">
      <w:pPr>
        <w:rPr>
          <w:b/>
          <w:bCs/>
          <w:u w:val="single"/>
        </w:rPr>
      </w:pPr>
      <w:r w:rsidRPr="00883703">
        <w:rPr>
          <w:rFonts w:hint="eastAsia"/>
          <w:b/>
          <w:bCs/>
          <w:u w:val="single"/>
        </w:rPr>
        <w:t>P</w:t>
      </w:r>
      <w:r w:rsidRPr="00883703">
        <w:rPr>
          <w:b/>
          <w:bCs/>
          <w:u w:val="single"/>
        </w:rPr>
        <w:t>roposal 4</w:t>
      </w:r>
    </w:p>
    <w:p w14:paraId="569F95DB" w14:textId="77777777" w:rsidR="0095671C" w:rsidRDefault="0095671C" w:rsidP="00883703">
      <w:r>
        <w:t>L1/L2 framework to repot CLI measurement can be studied.</w:t>
      </w:r>
    </w:p>
    <w:p w14:paraId="4344DF21" w14:textId="77777777" w:rsidR="0095671C" w:rsidRPr="00883703" w:rsidRDefault="0095671C" w:rsidP="00883703">
      <w:pPr>
        <w:rPr>
          <w:b/>
          <w:bCs/>
          <w:u w:val="single"/>
        </w:rPr>
      </w:pPr>
      <w:r w:rsidRPr="00883703">
        <w:rPr>
          <w:rFonts w:hint="eastAsia"/>
          <w:b/>
          <w:bCs/>
          <w:u w:val="single"/>
        </w:rPr>
        <w:t>P</w:t>
      </w:r>
      <w:r w:rsidRPr="00883703">
        <w:rPr>
          <w:b/>
          <w:bCs/>
          <w:u w:val="single"/>
        </w:rPr>
        <w:t>roposal 5</w:t>
      </w:r>
    </w:p>
    <w:p w14:paraId="4430D665" w14:textId="77777777" w:rsidR="0095671C" w:rsidRDefault="0095671C" w:rsidP="00883703">
      <w:r>
        <w:rPr>
          <w:rFonts w:hint="eastAsia"/>
        </w:rPr>
        <w:t>F</w:t>
      </w:r>
      <w:r>
        <w:t>iner granularity measurement of CLI measurement in terms of awareness of Rx beam and/or SBFD configuration can be studied.</w:t>
      </w:r>
    </w:p>
    <w:p w14:paraId="070DD259" w14:textId="384B4366" w:rsidR="00307857" w:rsidRDefault="00307857" w:rsidP="00883703">
      <w:pPr>
        <w:rPr>
          <w:rFonts w:hint="eastAsia"/>
        </w:rPr>
      </w:pPr>
    </w:p>
    <w:p w14:paraId="3A657A32" w14:textId="759D06D5" w:rsidR="00307857" w:rsidRDefault="00307857" w:rsidP="00883703">
      <w:r>
        <w:t>References</w:t>
      </w:r>
    </w:p>
    <w:p w14:paraId="241C03B4" w14:textId="6351A811" w:rsidR="00307857" w:rsidRPr="004947B0" w:rsidRDefault="00307857" w:rsidP="00883703">
      <w:r>
        <w:rPr>
          <w:rFonts w:hint="eastAsia"/>
        </w:rPr>
        <w:t>[</w:t>
      </w:r>
      <w:r>
        <w:t>1] RP-220633, Study on Evolution of NR Duplex Operation</w:t>
      </w:r>
    </w:p>
    <w:sectPr w:rsidR="00307857" w:rsidRPr="004947B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D08D3" w14:textId="77777777" w:rsidR="000470DF" w:rsidRDefault="000470DF" w:rsidP="00883703">
      <w:r>
        <w:separator/>
      </w:r>
    </w:p>
  </w:endnote>
  <w:endnote w:type="continuationSeparator" w:id="0">
    <w:p w14:paraId="1BD0D9F8" w14:textId="77777777" w:rsidR="000470DF" w:rsidRDefault="000470DF" w:rsidP="0088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748C4" w14:textId="77777777" w:rsidR="000470DF" w:rsidRDefault="000470DF" w:rsidP="00883703">
      <w:r>
        <w:separator/>
      </w:r>
    </w:p>
  </w:footnote>
  <w:footnote w:type="continuationSeparator" w:id="0">
    <w:p w14:paraId="21E71C6F" w14:textId="77777777" w:rsidR="000470DF" w:rsidRDefault="000470DF" w:rsidP="00883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67D1788"/>
    <w:multiLevelType w:val="hybridMultilevel"/>
    <w:tmpl w:val="182A63C0"/>
    <w:lvl w:ilvl="0" w:tplc="04100019">
      <w:start w:val="1"/>
      <w:numFmt w:val="lowerLetter"/>
      <w:lvlText w:val="%1."/>
      <w:lvlJc w:val="left"/>
      <w:pPr>
        <w:ind w:left="420" w:hanging="420"/>
      </w:pPr>
    </w:lvl>
    <w:lvl w:ilvl="1" w:tplc="0409001B">
      <w:start w:val="1"/>
      <w:numFmt w:val="lowerRoman"/>
      <w:lvlText w:val="%2."/>
      <w:lvlJc w:val="righ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" w15:restartNumberingAfterBreak="0">
    <w:nsid w:val="29DD3BB5"/>
    <w:multiLevelType w:val="hybridMultilevel"/>
    <w:tmpl w:val="D1CC0C9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49FE12AC">
      <w:numFmt w:val="bullet"/>
      <w:lvlText w:val="-"/>
      <w:lvlJc w:val="left"/>
      <w:pPr>
        <w:ind w:left="1220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E2631E1"/>
    <w:multiLevelType w:val="hybridMultilevel"/>
    <w:tmpl w:val="A04E723E"/>
    <w:lvl w:ilvl="0" w:tplc="08090001">
      <w:start w:val="1"/>
      <w:numFmt w:val="bullet"/>
      <w:lvlText w:val=""/>
      <w:lvlJc w:val="left"/>
      <w:pPr>
        <w:ind w:left="525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5A31639E"/>
    <w:multiLevelType w:val="hybridMultilevel"/>
    <w:tmpl w:val="BE6EF2D0"/>
    <w:lvl w:ilvl="0" w:tplc="BE86A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41D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6D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54D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E4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27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6D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43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2CB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69ED7D67"/>
    <w:multiLevelType w:val="hybridMultilevel"/>
    <w:tmpl w:val="547C9122"/>
    <w:lvl w:ilvl="0" w:tplc="08090001">
      <w:start w:val="1"/>
      <w:numFmt w:val="bullet"/>
      <w:lvlText w:val=""/>
      <w:lvlJc w:val="left"/>
      <w:pPr>
        <w:ind w:left="525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num w:numId="1" w16cid:durableId="182480319">
    <w:abstractNumId w:val="5"/>
  </w:num>
  <w:num w:numId="2" w16cid:durableId="1050225380">
    <w:abstractNumId w:val="0"/>
  </w:num>
  <w:num w:numId="3" w16cid:durableId="598880023">
    <w:abstractNumId w:val="2"/>
  </w:num>
  <w:num w:numId="4" w16cid:durableId="1186402041">
    <w:abstractNumId w:val="3"/>
  </w:num>
  <w:num w:numId="5" w16cid:durableId="512501754">
    <w:abstractNumId w:val="6"/>
  </w:num>
  <w:num w:numId="6" w16cid:durableId="1055398137">
    <w:abstractNumId w:val="4"/>
  </w:num>
  <w:num w:numId="7" w16cid:durableId="294145678">
    <w:abstractNumId w:val="7"/>
  </w:num>
  <w:num w:numId="8" w16cid:durableId="2092434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7B0"/>
    <w:rsid w:val="000056EA"/>
    <w:rsid w:val="000470DF"/>
    <w:rsid w:val="001230C0"/>
    <w:rsid w:val="00140381"/>
    <w:rsid w:val="001462AC"/>
    <w:rsid w:val="00170A11"/>
    <w:rsid w:val="00170B3F"/>
    <w:rsid w:val="001D296E"/>
    <w:rsid w:val="00234506"/>
    <w:rsid w:val="00257DF5"/>
    <w:rsid w:val="002721F2"/>
    <w:rsid w:val="002F4743"/>
    <w:rsid w:val="00307857"/>
    <w:rsid w:val="00362579"/>
    <w:rsid w:val="004507D0"/>
    <w:rsid w:val="004947B0"/>
    <w:rsid w:val="00494E93"/>
    <w:rsid w:val="004A7727"/>
    <w:rsid w:val="004B7F04"/>
    <w:rsid w:val="00503A91"/>
    <w:rsid w:val="005A14F8"/>
    <w:rsid w:val="005F1F6F"/>
    <w:rsid w:val="00642950"/>
    <w:rsid w:val="006A5C6B"/>
    <w:rsid w:val="006A7633"/>
    <w:rsid w:val="006F78CB"/>
    <w:rsid w:val="00765CB0"/>
    <w:rsid w:val="00780113"/>
    <w:rsid w:val="0078415B"/>
    <w:rsid w:val="007A1F39"/>
    <w:rsid w:val="007B71AE"/>
    <w:rsid w:val="007D598F"/>
    <w:rsid w:val="007D6ACF"/>
    <w:rsid w:val="00883703"/>
    <w:rsid w:val="008B3BD8"/>
    <w:rsid w:val="008D639C"/>
    <w:rsid w:val="008F36EC"/>
    <w:rsid w:val="0090341C"/>
    <w:rsid w:val="00934619"/>
    <w:rsid w:val="0095581E"/>
    <w:rsid w:val="0095671C"/>
    <w:rsid w:val="009A4722"/>
    <w:rsid w:val="009A5B31"/>
    <w:rsid w:val="009C5C33"/>
    <w:rsid w:val="00A347D8"/>
    <w:rsid w:val="00A37D4A"/>
    <w:rsid w:val="00A45DF8"/>
    <w:rsid w:val="00AB3585"/>
    <w:rsid w:val="00B55079"/>
    <w:rsid w:val="00B87902"/>
    <w:rsid w:val="00BA30E1"/>
    <w:rsid w:val="00BE52E4"/>
    <w:rsid w:val="00C04A41"/>
    <w:rsid w:val="00C46E39"/>
    <w:rsid w:val="00CC5167"/>
    <w:rsid w:val="00CF77E2"/>
    <w:rsid w:val="00D263C1"/>
    <w:rsid w:val="00D531CF"/>
    <w:rsid w:val="00D87623"/>
    <w:rsid w:val="00D95837"/>
    <w:rsid w:val="00DC1739"/>
    <w:rsid w:val="00DC230D"/>
    <w:rsid w:val="00DD508F"/>
    <w:rsid w:val="00DF3A00"/>
    <w:rsid w:val="00E52CBB"/>
    <w:rsid w:val="00E844EB"/>
    <w:rsid w:val="00EF0557"/>
    <w:rsid w:val="00EF34C5"/>
    <w:rsid w:val="00F5723E"/>
    <w:rsid w:val="00FA0B73"/>
    <w:rsid w:val="00FA6CA2"/>
    <w:rsid w:val="00FC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25D71D"/>
  <w15:chartTrackingRefBased/>
  <w15:docId w15:val="{4153583D-C52E-45E7-B6AA-2A3CC81D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703"/>
    <w:pPr>
      <w:widowControl w:val="0"/>
      <w:jc w:val="both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AB3585"/>
    <w:pPr>
      <w:keepNext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3585"/>
    <w:rPr>
      <w:rFonts w:ascii="Arial" w:eastAsiaTheme="majorEastAsia" w:hAnsi="Arial" w:cs="Arial"/>
      <w:b/>
      <w:bCs/>
      <w:sz w:val="24"/>
      <w:szCs w:val="24"/>
      <w:lang w:val="en-GB"/>
    </w:rPr>
  </w:style>
  <w:style w:type="paragraph" w:styleId="a3">
    <w:name w:val="List Paragraph"/>
    <w:basedOn w:val="a"/>
    <w:uiPriority w:val="34"/>
    <w:qFormat/>
    <w:rsid w:val="00170B3F"/>
    <w:pPr>
      <w:ind w:leftChars="400" w:left="840"/>
    </w:pPr>
  </w:style>
  <w:style w:type="paragraph" w:styleId="a4">
    <w:name w:val="caption"/>
    <w:basedOn w:val="a"/>
    <w:next w:val="a"/>
    <w:uiPriority w:val="35"/>
    <w:unhideWhenUsed/>
    <w:qFormat/>
    <w:rsid w:val="007A1F39"/>
    <w:rPr>
      <w:b/>
      <w:bCs/>
      <w:szCs w:val="21"/>
    </w:rPr>
  </w:style>
  <w:style w:type="paragraph" w:styleId="a5">
    <w:name w:val="header"/>
    <w:basedOn w:val="a"/>
    <w:link w:val="a6"/>
    <w:uiPriority w:val="99"/>
    <w:unhideWhenUsed/>
    <w:rsid w:val="00494E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94E93"/>
  </w:style>
  <w:style w:type="paragraph" w:styleId="a7">
    <w:name w:val="footer"/>
    <w:basedOn w:val="a"/>
    <w:link w:val="a8"/>
    <w:uiPriority w:val="99"/>
    <w:unhideWhenUsed/>
    <w:rsid w:val="00494E9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94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795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70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746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248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426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8202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6853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8285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555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6275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9227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Kitagawa, Koichiro | Koo | RMI</dc:creator>
  <cp:keywords/>
  <dc:description/>
  <cp:lastModifiedBy>Kitagawa, Koichiro | Koo | RMI</cp:lastModifiedBy>
  <cp:revision>3</cp:revision>
  <dcterms:created xsi:type="dcterms:W3CDTF">2022-08-12T13:14:00Z</dcterms:created>
  <dcterms:modified xsi:type="dcterms:W3CDTF">2022-08-12T13:21:00Z</dcterms:modified>
</cp:coreProperties>
</file>