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E1155" w14:textId="25158146" w:rsidR="00632D11" w:rsidRPr="007B519D" w:rsidRDefault="00632D11" w:rsidP="00632D11">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#1</w:t>
      </w:r>
      <w:r>
        <w:rPr>
          <w:rFonts w:asciiTheme="minorBidi" w:hAnsiTheme="minorBidi"/>
          <w:b/>
          <w:bCs/>
          <w:snapToGrid w:val="0"/>
          <w:sz w:val="24"/>
          <w:szCs w:val="24"/>
          <w:lang w:val="en-US"/>
        </w:rPr>
        <w:t>10</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R1-</w:t>
      </w:r>
      <w:r w:rsidRPr="00966AD6">
        <w:t xml:space="preserve"> </w:t>
      </w:r>
      <w:r w:rsidR="00315A3D" w:rsidRPr="00315A3D">
        <w:rPr>
          <w:rFonts w:asciiTheme="minorBidi" w:hAnsiTheme="minorBidi"/>
          <w:b/>
          <w:bCs/>
          <w:snapToGrid w:val="0"/>
          <w:sz w:val="24"/>
          <w:szCs w:val="24"/>
          <w:lang w:val="en-US"/>
        </w:rPr>
        <w:t>2206440</w:t>
      </w:r>
    </w:p>
    <w:p w14:paraId="34ABC8E4" w14:textId="77777777" w:rsidR="00632D11" w:rsidRPr="009D7AA5" w:rsidRDefault="00632D11" w:rsidP="00632D11">
      <w:pPr>
        <w:spacing w:after="0"/>
        <w:rPr>
          <w:rFonts w:asciiTheme="minorBidi" w:hAnsiTheme="minorBidi"/>
          <w:b/>
          <w:bCs/>
          <w:snapToGrid w:val="0"/>
          <w:sz w:val="24"/>
          <w:szCs w:val="24"/>
          <w:lang w:val="en-US"/>
        </w:rPr>
      </w:pPr>
      <w:r w:rsidRPr="00BC2367">
        <w:rPr>
          <w:rFonts w:asciiTheme="minorBidi" w:hAnsiTheme="minorBidi"/>
          <w:b/>
          <w:bCs/>
          <w:snapToGrid w:val="0"/>
          <w:sz w:val="24"/>
          <w:szCs w:val="24"/>
          <w:lang w:val="en-US"/>
        </w:rPr>
        <w:t>Toulouse, France, August 22</w:t>
      </w:r>
      <w:r w:rsidRPr="00BC2367">
        <w:rPr>
          <w:rFonts w:asciiTheme="minorBidi" w:hAnsiTheme="minorBidi"/>
          <w:b/>
          <w:bCs/>
          <w:snapToGrid w:val="0"/>
          <w:sz w:val="24"/>
          <w:szCs w:val="24"/>
          <w:vertAlign w:val="superscript"/>
          <w:lang w:val="en-US"/>
        </w:rPr>
        <w:t>nd</w:t>
      </w:r>
      <w:r>
        <w:rPr>
          <w:rFonts w:asciiTheme="minorBidi" w:hAnsiTheme="minorBidi"/>
          <w:b/>
          <w:bCs/>
          <w:snapToGrid w:val="0"/>
          <w:sz w:val="24"/>
          <w:szCs w:val="24"/>
          <w:lang w:val="en-US"/>
        </w:rPr>
        <w:t xml:space="preserve"> </w:t>
      </w:r>
      <w:r w:rsidRPr="00BC2367">
        <w:rPr>
          <w:rFonts w:asciiTheme="minorBidi" w:hAnsiTheme="minorBidi"/>
          <w:b/>
          <w:bCs/>
          <w:snapToGrid w:val="0"/>
          <w:sz w:val="24"/>
          <w:szCs w:val="24"/>
          <w:lang w:val="en-US"/>
        </w:rPr>
        <w:t>– 26</w:t>
      </w:r>
      <w:r w:rsidRPr="00BC2367">
        <w:rPr>
          <w:rFonts w:asciiTheme="minorBidi" w:hAnsiTheme="minorBidi"/>
          <w:b/>
          <w:bCs/>
          <w:snapToGrid w:val="0"/>
          <w:sz w:val="24"/>
          <w:szCs w:val="24"/>
          <w:vertAlign w:val="superscript"/>
          <w:lang w:val="en-US"/>
        </w:rPr>
        <w:t>th</w:t>
      </w:r>
      <w:r w:rsidRPr="00BC2367">
        <w:rPr>
          <w:rFonts w:asciiTheme="minorBidi" w:hAnsiTheme="minorBidi"/>
          <w:b/>
          <w:bCs/>
          <w:snapToGrid w:val="0"/>
          <w:sz w:val="24"/>
          <w:szCs w:val="24"/>
          <w:lang w:val="en-US"/>
        </w:rPr>
        <w:t>, 2022</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3837DA3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sidR="000E4284">
        <w:rPr>
          <w:rFonts w:asciiTheme="minorBidi" w:hAnsiTheme="minorBidi"/>
          <w:b/>
          <w:bCs/>
          <w:snapToGrid w:val="0"/>
          <w:sz w:val="24"/>
          <w:szCs w:val="24"/>
          <w:lang w:val="en-US"/>
        </w:rPr>
        <w:t>2</w:t>
      </w:r>
    </w:p>
    <w:p w14:paraId="091A1AD7" w14:textId="0F980ADC"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CC576C">
        <w:rPr>
          <w:rFonts w:asciiTheme="minorBidi" w:hAnsiTheme="minorBidi"/>
          <w:b/>
          <w:bCs/>
          <w:snapToGrid w:val="0"/>
          <w:sz w:val="24"/>
          <w:szCs w:val="24"/>
          <w:lang w:val="en-US"/>
        </w:rPr>
        <w:t>Discussion on Co-Channel Coexistence for LTE and NR Sidelink</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3F64AE73" w14:textId="77777777" w:rsidR="002872AB"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ED6D7C">
        <w:t>6</w:t>
      </w:r>
      <w:r>
        <w:t xml:space="preserve"> [1], and the following </w:t>
      </w:r>
      <w:r w:rsidR="00ED6D7C">
        <w:t xml:space="preserve">agreements [2] were made </w:t>
      </w:r>
      <w:r>
        <w:t xml:space="preserve">in relation to </w:t>
      </w:r>
      <w:r w:rsidR="00627D4D">
        <w:t xml:space="preserve">the </w:t>
      </w:r>
      <w:r w:rsidR="00CC576C">
        <w:t>co-channel coexistence between LTE and NR sidelink</w:t>
      </w:r>
      <w:r>
        <w:t>:</w:t>
      </w:r>
    </w:p>
    <w:tbl>
      <w:tblPr>
        <w:tblStyle w:val="TableGrid"/>
        <w:tblW w:w="0" w:type="auto"/>
        <w:tblLook w:val="04A0" w:firstRow="1" w:lastRow="0" w:firstColumn="1" w:lastColumn="0" w:noHBand="0" w:noVBand="1"/>
      </w:tblPr>
      <w:tblGrid>
        <w:gridCol w:w="9962"/>
      </w:tblGrid>
      <w:tr w:rsidR="002872AB" w14:paraId="1D7D9FC3" w14:textId="77777777" w:rsidTr="002872AB">
        <w:tc>
          <w:tcPr>
            <w:tcW w:w="9962" w:type="dxa"/>
          </w:tcPr>
          <w:p w14:paraId="2E9FC408" w14:textId="77777777" w:rsidR="002872AB" w:rsidRPr="002872AB" w:rsidRDefault="002872AB" w:rsidP="00D11A1B">
            <w:pPr>
              <w:numPr>
                <w:ilvl w:val="0"/>
                <w:numId w:val="9"/>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2872AB">
              <w:rPr>
                <w:rFonts w:eastAsia="Times New Roman"/>
                <w:color w:val="000000"/>
                <w:sz w:val="22"/>
                <w:szCs w:val="22"/>
              </w:rPr>
              <w:t>For co-channel coexistence in Rel-18, no changes in the LTE SL specifications are allowed.</w:t>
            </w:r>
          </w:p>
          <w:p w14:paraId="423024CC" w14:textId="77777777" w:rsidR="002872AB" w:rsidRPr="002872AB" w:rsidRDefault="002872AB" w:rsidP="00D11A1B">
            <w:pPr>
              <w:numPr>
                <w:ilvl w:val="0"/>
                <w:numId w:val="9"/>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2872AB">
              <w:rPr>
                <w:rFonts w:eastAsia="Times New Roman"/>
                <w:color w:val="000000"/>
                <w:sz w:val="22"/>
                <w:szCs w:val="22"/>
              </w:rPr>
              <w:t>For co-channel coexistence in Rel-18, Rel-16/17 simulation assumptions are reused for evaluation of solutions, except for the UE dropping model.</w:t>
            </w:r>
          </w:p>
          <w:p w14:paraId="4C00814C" w14:textId="77777777" w:rsidR="002872AB" w:rsidRPr="002872AB" w:rsidRDefault="002872AB" w:rsidP="00D11A1B">
            <w:pPr>
              <w:pStyle w:val="ListParagraph"/>
              <w:numPr>
                <w:ilvl w:val="1"/>
                <w:numId w:val="8"/>
              </w:numPr>
              <w:spacing w:before="0" w:line="240" w:lineRule="auto"/>
              <w:ind w:left="720"/>
              <w:contextualSpacing/>
              <w:rPr>
                <w:rFonts w:ascii="Times New Roman" w:hAnsi="Times New Roman"/>
                <w:color w:val="000000" w:themeColor="text1"/>
              </w:rPr>
            </w:pPr>
            <w:r w:rsidRPr="002872AB">
              <w:rPr>
                <w:rFonts w:ascii="Times New Roman" w:hAnsi="Times New Roman"/>
                <w:color w:val="000000" w:themeColor="text1"/>
              </w:rPr>
              <w:t>FFS: UE dropping model</w:t>
            </w:r>
          </w:p>
          <w:p w14:paraId="4A6D1C9F" w14:textId="77777777" w:rsidR="002872AB" w:rsidRPr="002872AB" w:rsidRDefault="002872AB" w:rsidP="00D11A1B">
            <w:pPr>
              <w:numPr>
                <w:ilvl w:val="0"/>
                <w:numId w:val="9"/>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2872AB">
              <w:rPr>
                <w:rFonts w:eastAsia="Times New Roman"/>
                <w:color w:val="000000"/>
                <w:sz w:val="22"/>
                <w:szCs w:val="22"/>
              </w:rPr>
              <w:t>For the study of co-channel coexistence solutions in Rel-18, the combination of operational modes Mode 2 NR SL with Mode 4 LTE SL (Combination A) is considered with high priority.</w:t>
            </w:r>
          </w:p>
          <w:p w14:paraId="56EFDBB3" w14:textId="77777777" w:rsidR="002872AB" w:rsidRPr="002872AB" w:rsidRDefault="002872AB" w:rsidP="00D11A1B">
            <w:pPr>
              <w:pStyle w:val="ListParagraph"/>
              <w:numPr>
                <w:ilvl w:val="1"/>
                <w:numId w:val="8"/>
              </w:numPr>
              <w:spacing w:before="0" w:line="240" w:lineRule="auto"/>
              <w:ind w:left="720"/>
              <w:contextualSpacing/>
              <w:rPr>
                <w:rFonts w:ascii="Times New Roman" w:hAnsi="Times New Roman"/>
                <w:color w:val="000000" w:themeColor="text1"/>
              </w:rPr>
            </w:pPr>
            <w:r w:rsidRPr="002872AB">
              <w:rPr>
                <w:rFonts w:ascii="Times New Roman" w:hAnsi="Times New Roman"/>
                <w:color w:val="000000" w:themeColor="text1"/>
              </w:rPr>
              <w:t>FFS: Whether/how to support Mode 1 NR SL + Mode 4 LTE SL (Combination B) and/or Mode 2 NR SL + Mode 3 LTE SL (Combination C).</w:t>
            </w:r>
          </w:p>
          <w:p w14:paraId="4ACC36FF" w14:textId="77777777" w:rsidR="002872AB" w:rsidRPr="002872AB" w:rsidRDefault="002872AB" w:rsidP="00D11A1B">
            <w:pPr>
              <w:numPr>
                <w:ilvl w:val="0"/>
                <w:numId w:val="9"/>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2872AB">
              <w:rPr>
                <w:rFonts w:eastAsia="Times New Roman"/>
                <w:color w:val="000000"/>
                <w:sz w:val="22"/>
                <w:szCs w:val="22"/>
              </w:rPr>
              <w:t xml:space="preserve">For evaluation of co-channel coexistence solutions in Rel-18, support the inclusion of dual module devices with NR+LTE modules using the following UE dropping models: </w:t>
            </w:r>
          </w:p>
          <w:p w14:paraId="1766ADBB" w14:textId="77777777" w:rsidR="002872AB" w:rsidRPr="002872AB" w:rsidRDefault="002872AB" w:rsidP="00D11A1B">
            <w:pPr>
              <w:pStyle w:val="ListParagraph"/>
              <w:numPr>
                <w:ilvl w:val="1"/>
                <w:numId w:val="8"/>
              </w:numPr>
              <w:spacing w:before="0" w:line="240" w:lineRule="auto"/>
              <w:ind w:left="720"/>
              <w:contextualSpacing/>
              <w:rPr>
                <w:rFonts w:ascii="Times New Roman" w:hAnsi="Times New Roman"/>
                <w:color w:val="000000" w:themeColor="text1"/>
              </w:rPr>
            </w:pPr>
            <w:r w:rsidRPr="002872AB">
              <w:rPr>
                <w:rFonts w:ascii="Times New Roman" w:hAnsi="Times New Roman"/>
                <w:color w:val="000000" w:themeColor="text1"/>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59239149" w14:textId="77777777" w:rsidR="002872AB" w:rsidRPr="002872AB" w:rsidRDefault="002872AB" w:rsidP="00D11A1B">
            <w:pPr>
              <w:pStyle w:val="ListParagraph"/>
              <w:numPr>
                <w:ilvl w:val="1"/>
                <w:numId w:val="8"/>
              </w:numPr>
              <w:spacing w:before="0" w:line="240" w:lineRule="auto"/>
              <w:ind w:left="720"/>
              <w:contextualSpacing/>
              <w:rPr>
                <w:rFonts w:ascii="Times New Roman" w:hAnsi="Times New Roman"/>
                <w:color w:val="000000" w:themeColor="text1"/>
              </w:rPr>
            </w:pPr>
            <w:r w:rsidRPr="002872AB">
              <w:rPr>
                <w:rFonts w:ascii="Times New Roman" w:hAnsi="Times New Roman"/>
                <w:color w:val="000000" w:themeColor="text1"/>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sidRPr="002872AB">
              <w:rPr>
                <w:rFonts w:ascii="Times New Roman" w:hAnsi="Times New Roman"/>
                <w:color w:val="000000" w:themeColor="text1"/>
              </w:rPr>
              <w:t>max{</w:t>
            </w:r>
            <w:proofErr w:type="gramEnd"/>
            <w:r w:rsidRPr="002872AB">
              <w:rPr>
                <w:rFonts w:ascii="Times New Roman" w:hAnsi="Times New Roman"/>
                <w:color w:val="000000" w:themeColor="text1"/>
              </w:rPr>
              <w:t>2 meter, an exponential random variable with the average of the speed * 2sec}.</w:t>
            </w:r>
          </w:p>
          <w:p w14:paraId="448979C2" w14:textId="77777777" w:rsidR="002872AB" w:rsidRPr="002872AB" w:rsidRDefault="002872AB" w:rsidP="00D11A1B">
            <w:pPr>
              <w:numPr>
                <w:ilvl w:val="0"/>
                <w:numId w:val="9"/>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2872AB">
              <w:rPr>
                <w:rFonts w:eastAsia="Times New Roman"/>
                <w:color w:val="000000"/>
                <w:sz w:val="22"/>
                <w:szCs w:val="22"/>
              </w:rPr>
              <w:t>Companies should mention the UE dropping model and the distribution of each device type (single/dual module) used in their simulation assumptions.</w:t>
            </w:r>
          </w:p>
          <w:p w14:paraId="6910D1F4" w14:textId="77777777" w:rsidR="002872AB" w:rsidRPr="002872AB" w:rsidRDefault="002872AB" w:rsidP="00D11A1B">
            <w:pPr>
              <w:numPr>
                <w:ilvl w:val="0"/>
                <w:numId w:val="9"/>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2872AB">
              <w:rPr>
                <w:rFonts w:eastAsia="Times New Roman"/>
                <w:color w:val="000000"/>
                <w:sz w:val="22"/>
                <w:szCs w:val="22"/>
              </w:rPr>
              <w:t>Feasibility of semi-static resource pool partitioning and dynamic resource sharing as possible solutions for co-channel coexistence are to be studied.</w:t>
            </w:r>
          </w:p>
          <w:p w14:paraId="45536C9C" w14:textId="77777777" w:rsidR="002872AB" w:rsidRPr="002872AB" w:rsidRDefault="002872AB" w:rsidP="00D11A1B">
            <w:pPr>
              <w:numPr>
                <w:ilvl w:val="0"/>
                <w:numId w:val="9"/>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2872AB">
              <w:rPr>
                <w:rFonts w:eastAsia="Times New Roman"/>
                <w:color w:val="000000"/>
                <w:sz w:val="22"/>
                <w:szCs w:val="22"/>
              </w:rPr>
              <w:t xml:space="preserve">For studying the feasibility of dynamic resource sharing as a possible solution for co-channel coexistence, </w:t>
            </w:r>
          </w:p>
          <w:p w14:paraId="2C7A76E3" w14:textId="77777777" w:rsidR="002872AB" w:rsidRPr="002872AB" w:rsidRDefault="002872AB" w:rsidP="00D11A1B">
            <w:pPr>
              <w:pStyle w:val="ListParagraph"/>
              <w:numPr>
                <w:ilvl w:val="1"/>
                <w:numId w:val="8"/>
              </w:numPr>
              <w:spacing w:before="0" w:line="240" w:lineRule="auto"/>
              <w:ind w:left="720"/>
              <w:contextualSpacing/>
              <w:rPr>
                <w:rFonts w:ascii="Times New Roman" w:hAnsi="Times New Roman"/>
                <w:color w:val="000000" w:themeColor="text1"/>
              </w:rPr>
            </w:pPr>
            <w:r w:rsidRPr="002872AB">
              <w:rPr>
                <w:rFonts w:ascii="Times New Roman" w:hAnsi="Times New Roman"/>
                <w:color w:val="000000" w:themeColor="text1"/>
              </w:rPr>
              <w:t>For device type A, the NR SL module uses the sensing and resource reservation information shared by the LTE SL module.</w:t>
            </w:r>
          </w:p>
          <w:p w14:paraId="712FB09D" w14:textId="77777777" w:rsidR="002872AB" w:rsidRPr="002872AB" w:rsidRDefault="002872AB" w:rsidP="00D11A1B">
            <w:pPr>
              <w:numPr>
                <w:ilvl w:val="1"/>
                <w:numId w:val="9"/>
              </w:numPr>
              <w:tabs>
                <w:tab w:val="clear" w:pos="1440"/>
                <w:tab w:val="num" w:pos="1080"/>
              </w:tabs>
              <w:overflowPunct/>
              <w:autoSpaceDE/>
              <w:autoSpaceDN/>
              <w:adjustRightInd/>
              <w:spacing w:before="0" w:after="0" w:line="240" w:lineRule="auto"/>
              <w:ind w:left="1080"/>
              <w:textAlignment w:val="auto"/>
              <w:rPr>
                <w:rFonts w:eastAsia="Times New Roman"/>
                <w:color w:val="000000"/>
                <w:sz w:val="22"/>
                <w:szCs w:val="22"/>
              </w:rPr>
            </w:pPr>
            <w:r w:rsidRPr="002872AB">
              <w:rPr>
                <w:rFonts w:eastAsia="Times New Roman"/>
                <w:color w:val="000000"/>
                <w:sz w:val="22"/>
                <w:szCs w:val="22"/>
              </w:rPr>
              <w:t>FFS details on how the NR SL module uses this information.</w:t>
            </w:r>
          </w:p>
          <w:p w14:paraId="4D97622F" w14:textId="77777777" w:rsidR="002872AB" w:rsidRPr="002872AB" w:rsidRDefault="002872AB" w:rsidP="00D11A1B">
            <w:pPr>
              <w:numPr>
                <w:ilvl w:val="1"/>
                <w:numId w:val="9"/>
              </w:numPr>
              <w:tabs>
                <w:tab w:val="clear" w:pos="1440"/>
                <w:tab w:val="num" w:pos="1080"/>
              </w:tabs>
              <w:overflowPunct/>
              <w:autoSpaceDE/>
              <w:autoSpaceDN/>
              <w:adjustRightInd/>
              <w:spacing w:before="0" w:after="0" w:line="240" w:lineRule="auto"/>
              <w:ind w:left="1080"/>
              <w:textAlignment w:val="auto"/>
              <w:rPr>
                <w:rFonts w:eastAsia="Times New Roman"/>
                <w:color w:val="000000"/>
                <w:sz w:val="22"/>
                <w:szCs w:val="22"/>
              </w:rPr>
            </w:pPr>
            <w:r w:rsidRPr="002872AB">
              <w:rPr>
                <w:rFonts w:eastAsia="Times New Roman"/>
                <w:color w:val="000000"/>
                <w:sz w:val="22"/>
                <w:szCs w:val="22"/>
              </w:rPr>
              <w:t>FFS details on how the LTE SL module shares the information to the NR SL module, exact information shared, timeline etc.</w:t>
            </w:r>
          </w:p>
          <w:p w14:paraId="439E7553" w14:textId="77777777" w:rsidR="002872AB" w:rsidRPr="002872AB" w:rsidRDefault="002872AB" w:rsidP="00D11A1B">
            <w:pPr>
              <w:pStyle w:val="ListParagraph"/>
              <w:numPr>
                <w:ilvl w:val="1"/>
                <w:numId w:val="8"/>
              </w:numPr>
              <w:spacing w:before="0" w:line="240" w:lineRule="auto"/>
              <w:ind w:left="720"/>
              <w:contextualSpacing/>
              <w:rPr>
                <w:rFonts w:ascii="Times New Roman" w:hAnsi="Times New Roman"/>
                <w:color w:val="000000" w:themeColor="text1"/>
              </w:rPr>
            </w:pPr>
            <w:r w:rsidRPr="002872AB">
              <w:rPr>
                <w:rFonts w:ascii="Times New Roman" w:hAnsi="Times New Roman"/>
                <w:color w:val="000000" w:themeColor="text1"/>
              </w:rPr>
              <w:t>FFS: Whether/how to define other method(s) for device type A to be aware of resources being occupied by LTE SL.</w:t>
            </w:r>
          </w:p>
          <w:p w14:paraId="27BF27BC" w14:textId="77777777" w:rsidR="002872AB" w:rsidRDefault="002872AB" w:rsidP="00D11A1B">
            <w:pPr>
              <w:pStyle w:val="ListParagraph"/>
              <w:numPr>
                <w:ilvl w:val="1"/>
                <w:numId w:val="8"/>
              </w:numPr>
              <w:spacing w:before="0" w:line="240" w:lineRule="auto"/>
              <w:ind w:left="720"/>
              <w:contextualSpacing/>
              <w:rPr>
                <w:rFonts w:ascii="Times New Roman" w:hAnsi="Times New Roman"/>
                <w:color w:val="000000" w:themeColor="text1"/>
              </w:rPr>
            </w:pPr>
            <w:r w:rsidRPr="002872AB">
              <w:rPr>
                <w:rFonts w:ascii="Times New Roman" w:hAnsi="Times New Roman"/>
                <w:color w:val="000000" w:themeColor="text1"/>
              </w:rPr>
              <w:t>FFS: Whether/how device type B should be supported.</w:t>
            </w:r>
          </w:p>
          <w:p w14:paraId="45530899" w14:textId="31626B67" w:rsidR="002872AB" w:rsidRPr="002872AB" w:rsidRDefault="002872AB" w:rsidP="002872AB">
            <w:pPr>
              <w:pStyle w:val="ListParagraph"/>
              <w:spacing w:before="0" w:line="240" w:lineRule="auto"/>
              <w:contextualSpacing/>
              <w:rPr>
                <w:rFonts w:ascii="Times New Roman" w:hAnsi="Times New Roman"/>
                <w:color w:val="000000" w:themeColor="text1"/>
              </w:rPr>
            </w:pPr>
          </w:p>
        </w:tc>
      </w:tr>
    </w:tbl>
    <w:p w14:paraId="51B193DF" w14:textId="6F7CB44C" w:rsidR="002872AB" w:rsidRDefault="002872AB" w:rsidP="002401B6">
      <w:pPr>
        <w:pStyle w:val="3GPPNormalText"/>
        <w:spacing w:after="0"/>
      </w:pPr>
    </w:p>
    <w:p w14:paraId="0F20E2BC" w14:textId="4283483C" w:rsidR="00627D4D" w:rsidRDefault="00627D4D" w:rsidP="002401B6">
      <w:pPr>
        <w:pStyle w:val="3GPPNormalText"/>
      </w:pPr>
      <w:r>
        <w:t xml:space="preserve">This document focuses on </w:t>
      </w:r>
      <w:r w:rsidR="00C25D5F">
        <w:t xml:space="preserve">changes required </w:t>
      </w:r>
      <w:r w:rsidR="0050654E">
        <w:t xml:space="preserve">to </w:t>
      </w:r>
      <w:r w:rsidR="00CC576C">
        <w:t>enabl</w:t>
      </w:r>
      <w:r w:rsidR="0050654E">
        <w:t>e</w:t>
      </w:r>
      <w:r w:rsidR="00CC576C">
        <w:t xml:space="preserve"> the co-channel coexistence between LTE and NR sidelink</w:t>
      </w:r>
      <w:r w:rsidR="0050654E">
        <w:t>, including aspects regarding the device types to be supported and the resource pool configurations to be used.</w:t>
      </w:r>
    </w:p>
    <w:p w14:paraId="164CDB2F" w14:textId="3E944D29" w:rsidR="00452993" w:rsidRPr="002B0CD1" w:rsidRDefault="00FF1B26" w:rsidP="00EA5309">
      <w:pPr>
        <w:pStyle w:val="Heading1"/>
      </w:pPr>
      <w:r>
        <w:lastRenderedPageBreak/>
        <w:t>In-Device Coexistence</w:t>
      </w:r>
      <w:r w:rsidR="003C6C1A">
        <w:t xml:space="preserve"> between NR and LTE V2X</w:t>
      </w:r>
      <w:r>
        <w:t xml:space="preserve"> in Rel-16</w:t>
      </w:r>
    </w:p>
    <w:p w14:paraId="7AFED079" w14:textId="708D18E9" w:rsidR="002E57D6" w:rsidRDefault="00332B8E" w:rsidP="002E57D6">
      <w:pPr>
        <w:pStyle w:val="3GPPNormalText"/>
      </w:pPr>
      <w:r>
        <w:t xml:space="preserve">Rel-16 specified the support of devices that include both an LTE V2X </w:t>
      </w:r>
      <w:r w:rsidR="00784836">
        <w:t xml:space="preserve">module </w:t>
      </w:r>
      <w:r>
        <w:t xml:space="preserve">and an NR </w:t>
      </w:r>
      <w:r w:rsidR="00374483">
        <w:t>SL</w:t>
      </w:r>
      <w:r>
        <w:t xml:space="preserve"> </w:t>
      </w:r>
      <w:r w:rsidR="00374483">
        <w:t>module</w:t>
      </w:r>
      <w:r>
        <w:t>, which can inter-communicate with a gNB and an eNB respectively</w:t>
      </w:r>
      <w:r w:rsidR="009626F0">
        <w:t>.</w:t>
      </w:r>
      <w:r>
        <w:t xml:space="preserve"> </w:t>
      </w:r>
      <w:r w:rsidR="00622809">
        <w:t>This feature enabled an eNB to support NR UEs over the Uu interface to operate in Mode 1 as well as in Mode 2</w:t>
      </w:r>
      <w:r w:rsidR="00090477">
        <w:t>. This</w:t>
      </w:r>
      <w:r w:rsidR="00FF1B26">
        <w:t xml:space="preserve"> involved providing the configurations for configured grants as well as resource pool configurations. Similarly, it also empowered a gNB to provide dynamic and semi-static configurations to LTE UEs operating in Mode 3 and Mode 4 respectively.</w:t>
      </w:r>
    </w:p>
    <w:p w14:paraId="32362AA7" w14:textId="77777777" w:rsidR="002872AB" w:rsidRDefault="00622809" w:rsidP="002E57D6">
      <w:pPr>
        <w:pStyle w:val="3GPPNormalText"/>
      </w:pPr>
      <w:r>
        <w:t>T</w:t>
      </w:r>
      <w:r w:rsidR="00FF1B26">
        <w:t xml:space="preserve">his feature enabled UEs to perform sidelink communications with other UEs that have only LTE V2X enabled, and to do so while obtaining assistance from an eNB or a gNB. However, one aspect that was not considered in the specification is the use of shared resources and spectrum for the operation of these UEs. </w:t>
      </w:r>
    </w:p>
    <w:p w14:paraId="2CC0D08A" w14:textId="7D95E747" w:rsidR="002872AB" w:rsidRDefault="002872AB" w:rsidP="002E57D6">
      <w:pPr>
        <w:pStyle w:val="3GPPNormalText"/>
      </w:pPr>
      <w:r>
        <w:t xml:space="preserve">Based on the discussions in the previous meeting, the following sections explore the challenges identified for </w:t>
      </w:r>
      <w:r w:rsidR="00784836">
        <w:t xml:space="preserve">specifying </w:t>
      </w:r>
      <w:r>
        <w:t>co</w:t>
      </w:r>
      <w:r>
        <w:noBreakHyphen/>
        <w:t xml:space="preserve">channel coexistence </w:t>
      </w:r>
      <w:r w:rsidR="00784836">
        <w:t xml:space="preserve">solutions </w:t>
      </w:r>
      <w:r>
        <w:t>between LTE and NR V2X.</w:t>
      </w:r>
    </w:p>
    <w:p w14:paraId="2F256C1C" w14:textId="6E97FA54" w:rsidR="002872AB" w:rsidRDefault="002872AB" w:rsidP="002E57D6">
      <w:pPr>
        <w:pStyle w:val="3GPPNormalText"/>
      </w:pPr>
      <w:r>
        <w:t xml:space="preserve"> </w:t>
      </w:r>
    </w:p>
    <w:p w14:paraId="576B5BC1" w14:textId="75968902" w:rsidR="002872AB" w:rsidRDefault="002872AB" w:rsidP="002872AB">
      <w:pPr>
        <w:pStyle w:val="Heading1"/>
      </w:pPr>
      <w:r>
        <w:t>Type of Devices</w:t>
      </w:r>
    </w:p>
    <w:p w14:paraId="2E7B2A83" w14:textId="4A8DD68D" w:rsidR="00F35ED9" w:rsidRDefault="00F35ED9" w:rsidP="002E57D6">
      <w:pPr>
        <w:pStyle w:val="3GPPNormalText"/>
      </w:pPr>
      <w:r>
        <w:t>Rel-18 UEs that are capable of supporting co-channel coexistence with LTE UEs were discussed in the previous meeting. The different UE types are listed below:</w:t>
      </w:r>
    </w:p>
    <w:p w14:paraId="2B13027F" w14:textId="0CAA5F07" w:rsidR="002872AB" w:rsidRDefault="00F35ED9" w:rsidP="00D11A1B">
      <w:pPr>
        <w:pStyle w:val="3GPPNormalText"/>
        <w:numPr>
          <w:ilvl w:val="0"/>
          <w:numId w:val="10"/>
        </w:numPr>
        <w:ind w:left="360"/>
      </w:pPr>
      <w:r>
        <w:t xml:space="preserve">Type A devices are UEs that contain both LTE </w:t>
      </w:r>
      <w:r w:rsidR="00374483">
        <w:t>V2X</w:t>
      </w:r>
      <w:r>
        <w:t xml:space="preserve"> and NR SL modules, similar to the Rel-16 UEs that support in-device coexistence.</w:t>
      </w:r>
    </w:p>
    <w:p w14:paraId="706A0C79" w14:textId="28141F38" w:rsidR="00F35ED9" w:rsidRPr="00C47608" w:rsidRDefault="00F35ED9" w:rsidP="00D11A1B">
      <w:pPr>
        <w:pStyle w:val="3GPPNormalText"/>
        <w:numPr>
          <w:ilvl w:val="0"/>
          <w:numId w:val="10"/>
        </w:numPr>
        <w:ind w:left="360"/>
      </w:pPr>
      <w:r>
        <w:t>Type B devices are UEs that contain only NR SL modules.</w:t>
      </w:r>
    </w:p>
    <w:p w14:paraId="26FE641D" w14:textId="4176EE54" w:rsidR="00F35ED9" w:rsidRDefault="002E1B5D" w:rsidP="002E57D6">
      <w:pPr>
        <w:pStyle w:val="3GPPNormalText"/>
      </w:pPr>
      <w:r>
        <w:t>T</w:t>
      </w:r>
      <w:r w:rsidR="00F35ED9">
        <w:t xml:space="preserve">he support of type </w:t>
      </w:r>
      <w:proofErr w:type="gramStart"/>
      <w:r w:rsidR="00F35ED9">
        <w:t>A</w:t>
      </w:r>
      <w:proofErr w:type="gramEnd"/>
      <w:r w:rsidR="00F35ED9">
        <w:t xml:space="preserve"> devices </w:t>
      </w:r>
      <w:r w:rsidR="00A37AA2">
        <w:t xml:space="preserve">is </w:t>
      </w:r>
      <w:r>
        <w:t xml:space="preserve">straightforward since for the device to operate in a shared resource pool, it needs to be aware of the LTE </w:t>
      </w:r>
      <w:r w:rsidR="00374483">
        <w:t>V2X</w:t>
      </w:r>
      <w:r>
        <w:t xml:space="preserve"> resource pool</w:t>
      </w:r>
      <w:r w:rsidR="00784836">
        <w:t xml:space="preserve"> configurations</w:t>
      </w:r>
      <w:r>
        <w:t>, and the resources that are being used by other LTE UEs. Having a</w:t>
      </w:r>
      <w:r w:rsidR="00A37AA2">
        <w:t>n</w:t>
      </w:r>
      <w:r>
        <w:t xml:space="preserve"> LTE </w:t>
      </w:r>
      <w:r w:rsidR="00374483">
        <w:t>V2X</w:t>
      </w:r>
      <w:r>
        <w:t xml:space="preserve"> module within the device would enable it to be aware of these resource allocations and can ensure that they are not being used for NR SL transmissions, thereby avoiding any potential resource collisions.</w:t>
      </w:r>
    </w:p>
    <w:p w14:paraId="54810DAD" w14:textId="0AA1DFC4" w:rsidR="002E1B5D" w:rsidRDefault="002E1B5D" w:rsidP="002E57D6">
      <w:pPr>
        <w:pStyle w:val="3GPPNormalText"/>
      </w:pPr>
      <w:r>
        <w:t xml:space="preserve">Type B devices, on the other hand, are slightly different in that it does not contain an LTE </w:t>
      </w:r>
      <w:r w:rsidR="00374483">
        <w:t>V2X</w:t>
      </w:r>
      <w:r>
        <w:t xml:space="preserve"> module. In this case, in order to support type B devices, it should be capable of at least determining resources that are being used by LTE </w:t>
      </w:r>
      <w:r w:rsidR="00374483">
        <w:t xml:space="preserve">V2X </w:t>
      </w:r>
      <w:r>
        <w:t xml:space="preserve">transmissions in order to avoid scheduling on these resources to avoid resource collisions. This </w:t>
      </w:r>
      <w:r w:rsidR="00215175">
        <w:t xml:space="preserve">does </w:t>
      </w:r>
      <w:r>
        <w:t xml:space="preserve">not necessarily mean that the device requires to decode LTE </w:t>
      </w:r>
      <w:r w:rsidR="00374483">
        <w:t xml:space="preserve">V2X </w:t>
      </w:r>
      <w:r>
        <w:t>control information, but rather perform basic energy measurements on resources to ensure that they are not occupied by LTE SL transmissions.</w:t>
      </w:r>
    </w:p>
    <w:p w14:paraId="561C939D" w14:textId="7F120E1C" w:rsidR="002E1B5D" w:rsidRPr="002E1B5D" w:rsidRDefault="002E1B5D" w:rsidP="002E57D6">
      <w:pPr>
        <w:pStyle w:val="3GPPNormalText"/>
        <w:rPr>
          <w:b/>
        </w:rPr>
      </w:pPr>
      <w:r w:rsidRPr="002E1B5D">
        <w:rPr>
          <w:b/>
        </w:rPr>
        <w:t xml:space="preserve">Proposal 1: For co-channel coexistence between NR </w:t>
      </w:r>
      <w:r w:rsidR="00374483" w:rsidRPr="002E1B5D">
        <w:rPr>
          <w:b/>
        </w:rPr>
        <w:t xml:space="preserve">SL </w:t>
      </w:r>
      <w:r w:rsidRPr="002E1B5D">
        <w:rPr>
          <w:b/>
        </w:rPr>
        <w:t>and LTE</w:t>
      </w:r>
      <w:r w:rsidR="00374483">
        <w:rPr>
          <w:b/>
        </w:rPr>
        <w:t xml:space="preserve"> V2X</w:t>
      </w:r>
      <w:r w:rsidRPr="002E1B5D">
        <w:rPr>
          <w:b/>
        </w:rPr>
        <w:t xml:space="preserve">, we propose that at least type </w:t>
      </w:r>
      <w:proofErr w:type="gramStart"/>
      <w:r w:rsidRPr="002E1B5D">
        <w:rPr>
          <w:b/>
        </w:rPr>
        <w:t>A</w:t>
      </w:r>
      <w:proofErr w:type="gramEnd"/>
      <w:r w:rsidRPr="002E1B5D">
        <w:rPr>
          <w:b/>
        </w:rPr>
        <w:t xml:space="preserve"> devices are supported, where </w:t>
      </w:r>
      <w:r w:rsidR="00215175">
        <w:rPr>
          <w:b/>
        </w:rPr>
        <w:t>the device</w:t>
      </w:r>
      <w:r w:rsidR="00215175" w:rsidRPr="002E1B5D">
        <w:rPr>
          <w:b/>
        </w:rPr>
        <w:t xml:space="preserve"> </w:t>
      </w:r>
      <w:r w:rsidRPr="002E1B5D">
        <w:rPr>
          <w:b/>
        </w:rPr>
        <w:t>contain</w:t>
      </w:r>
      <w:r w:rsidR="00EC1ED5">
        <w:rPr>
          <w:b/>
        </w:rPr>
        <w:t>s</w:t>
      </w:r>
      <w:r w:rsidRPr="002E1B5D">
        <w:rPr>
          <w:b/>
        </w:rPr>
        <w:t xml:space="preserve"> both an NR SL modem and a</w:t>
      </w:r>
      <w:r w:rsidR="00215175">
        <w:rPr>
          <w:b/>
        </w:rPr>
        <w:t>n</w:t>
      </w:r>
      <w:r w:rsidRPr="002E1B5D">
        <w:rPr>
          <w:b/>
        </w:rPr>
        <w:t xml:space="preserve"> LTE </w:t>
      </w:r>
      <w:r w:rsidR="00374483">
        <w:rPr>
          <w:b/>
        </w:rPr>
        <w:t>V2X</w:t>
      </w:r>
      <w:r w:rsidRPr="002E1B5D">
        <w:rPr>
          <w:b/>
        </w:rPr>
        <w:t xml:space="preserve"> modem.</w:t>
      </w:r>
    </w:p>
    <w:p w14:paraId="070F7346" w14:textId="0613419D" w:rsidR="002E1B5D" w:rsidRDefault="002E1B5D" w:rsidP="002E57D6">
      <w:pPr>
        <w:pStyle w:val="3GPPNormalText"/>
        <w:rPr>
          <w:b/>
        </w:rPr>
      </w:pPr>
      <w:r w:rsidRPr="002E1B5D">
        <w:rPr>
          <w:b/>
        </w:rPr>
        <w:t xml:space="preserve">Proposal 2: Study how type B devices </w:t>
      </w:r>
      <w:r w:rsidR="00215175">
        <w:rPr>
          <w:b/>
        </w:rPr>
        <w:t>containing</w:t>
      </w:r>
      <w:r w:rsidR="00215175" w:rsidRPr="002E1B5D">
        <w:rPr>
          <w:b/>
        </w:rPr>
        <w:t xml:space="preserve"> </w:t>
      </w:r>
      <w:r w:rsidRPr="002E1B5D">
        <w:rPr>
          <w:b/>
        </w:rPr>
        <w:t xml:space="preserve">only an NR SL modem can be used for co-channel coexistence with LTE </w:t>
      </w:r>
      <w:r w:rsidR="00374483">
        <w:rPr>
          <w:b/>
        </w:rPr>
        <w:t>V2X</w:t>
      </w:r>
      <w:r w:rsidRPr="002E1B5D">
        <w:rPr>
          <w:b/>
        </w:rPr>
        <w:t>.</w:t>
      </w:r>
    </w:p>
    <w:p w14:paraId="4EFAAA8A" w14:textId="77777777" w:rsidR="002E1B5D" w:rsidRPr="002E1B5D" w:rsidRDefault="002E1B5D" w:rsidP="002E57D6">
      <w:pPr>
        <w:pStyle w:val="3GPPNormalText"/>
        <w:rPr>
          <w:b/>
        </w:rPr>
      </w:pPr>
    </w:p>
    <w:p w14:paraId="1F9B3038" w14:textId="32403A7F" w:rsidR="002872AB" w:rsidRDefault="002872AB" w:rsidP="002872AB">
      <w:pPr>
        <w:pStyle w:val="Heading1"/>
      </w:pPr>
      <w:r>
        <w:t>Resource Pool Configurations</w:t>
      </w:r>
    </w:p>
    <w:p w14:paraId="375D1EA6" w14:textId="321950B9" w:rsidR="00210207" w:rsidRDefault="002E1B5D" w:rsidP="00210207">
      <w:pPr>
        <w:pStyle w:val="3GPPNormalText"/>
      </w:pPr>
      <w:r>
        <w:t>In order to support co-channel coexistence between NR and LTE sidelink, the resour</w:t>
      </w:r>
      <w:r w:rsidR="00210207">
        <w:t xml:space="preserve">ce pool configurations used have to be further explored. It has to be borne in mind that the LTE </w:t>
      </w:r>
      <w:r w:rsidR="00374483">
        <w:t>V2X</w:t>
      </w:r>
      <w:r w:rsidR="00210207">
        <w:t xml:space="preserve"> resource pool and the NR SL resource pool have inherently very different designs. The resource pool structure in LTE V2X defined the control channel over sub-channels in the frequency domain, and the data was transmitted in similar sub-channels. It also did not support feedback and the PSFCH feedback channel. This is in contrast to NR V2X where each time slot within a sub-channel included the PSCCH, PSSCH and PSFCH. This can be seen in Figure 1.</w:t>
      </w:r>
    </w:p>
    <w:p w14:paraId="1527D0F2" w14:textId="77777777" w:rsidR="00210207" w:rsidRDefault="00210207" w:rsidP="00210207">
      <w:pPr>
        <w:pStyle w:val="3GPPNormalText"/>
        <w:keepNext/>
        <w:jc w:val="center"/>
      </w:pPr>
      <w:r w:rsidRPr="00391CA9">
        <w:rPr>
          <w:noProof/>
        </w:rPr>
        <w:lastRenderedPageBreak/>
        <w:drawing>
          <wp:inline distT="0" distB="0" distL="0" distR="0" wp14:anchorId="730B45DB" wp14:editId="053BC6B9">
            <wp:extent cx="3393056" cy="310556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09304" cy="3120437"/>
                    </a:xfrm>
                    <a:prstGeom prst="rect">
                      <a:avLst/>
                    </a:prstGeom>
                    <a:noFill/>
                    <a:ln>
                      <a:noFill/>
                    </a:ln>
                  </pic:spPr>
                </pic:pic>
              </a:graphicData>
            </a:graphic>
          </wp:inline>
        </w:drawing>
      </w:r>
    </w:p>
    <w:p w14:paraId="3387927B" w14:textId="24E2703C" w:rsidR="00210207" w:rsidRPr="00391CA9" w:rsidRDefault="00210207" w:rsidP="00210207">
      <w:pPr>
        <w:pStyle w:val="Caption"/>
        <w:jc w:val="center"/>
        <w:rPr>
          <w:i/>
        </w:rPr>
      </w:pPr>
      <w:r w:rsidRPr="00391CA9">
        <w:rPr>
          <w:i/>
        </w:rPr>
        <w:t xml:space="preserve">Figure </w:t>
      </w:r>
      <w:r w:rsidRPr="00391CA9">
        <w:rPr>
          <w:i/>
        </w:rPr>
        <w:fldChar w:fldCharType="begin"/>
      </w:r>
      <w:r w:rsidRPr="00391CA9">
        <w:rPr>
          <w:i/>
        </w:rPr>
        <w:instrText xml:space="preserve"> SEQ Figure \* ARABIC </w:instrText>
      </w:r>
      <w:r w:rsidRPr="00391CA9">
        <w:rPr>
          <w:i/>
        </w:rPr>
        <w:fldChar w:fldCharType="separate"/>
      </w:r>
      <w:r w:rsidR="002D518A">
        <w:rPr>
          <w:i/>
          <w:noProof/>
        </w:rPr>
        <w:t>1</w:t>
      </w:r>
      <w:r w:rsidRPr="00391CA9">
        <w:rPr>
          <w:i/>
        </w:rPr>
        <w:fldChar w:fldCharType="end"/>
      </w:r>
      <w:r w:rsidRPr="00391CA9">
        <w:rPr>
          <w:i/>
        </w:rPr>
        <w:t xml:space="preserve">: </w:t>
      </w:r>
      <w:r>
        <w:rPr>
          <w:b w:val="0"/>
          <w:i/>
        </w:rPr>
        <w:t>Comparison of</w:t>
      </w:r>
      <w:r w:rsidRPr="00391CA9">
        <w:rPr>
          <w:b w:val="0"/>
          <w:i/>
        </w:rPr>
        <w:t xml:space="preserve"> resource pool structures between NR and LTE V2X</w:t>
      </w:r>
    </w:p>
    <w:p w14:paraId="6510D88D" w14:textId="2565C2F0" w:rsidR="002E1B5D" w:rsidRPr="002E1B5D" w:rsidRDefault="00210207" w:rsidP="00210207">
      <w:pPr>
        <w:pStyle w:val="3GPPNormalText"/>
      </w:pPr>
      <w:r>
        <w:t>The different configurations that were discussed in the previous meeting were TDM and FDM based resource pool partitioning and dynamic resource pool sharing, which are explored in further detail in the following sections.</w:t>
      </w:r>
    </w:p>
    <w:p w14:paraId="34D21F0C" w14:textId="1D7CFB21" w:rsidR="002872AB" w:rsidRDefault="002872AB" w:rsidP="002872AB">
      <w:pPr>
        <w:pStyle w:val="Heading2"/>
        <w:tabs>
          <w:tab w:val="clear" w:pos="718"/>
        </w:tabs>
        <w:ind w:left="540"/>
      </w:pPr>
      <w:r>
        <w:t>Semi-static Resource Pool Partitioning</w:t>
      </w:r>
    </w:p>
    <w:p w14:paraId="1D22D30F" w14:textId="0A157B81" w:rsidR="00210207" w:rsidRDefault="00210207" w:rsidP="002872AB">
      <w:pPr>
        <w:pStyle w:val="3GPPNormalText"/>
      </w:pPr>
      <w:r>
        <w:t xml:space="preserve">Semi-static resource pool partitioning between LTE </w:t>
      </w:r>
      <w:r w:rsidR="00374483">
        <w:t>V2X</w:t>
      </w:r>
      <w:r>
        <w:t xml:space="preserve"> and NR SL would definitely be one of the easier solutions due to the fact that it can be implemented without any or </w:t>
      </w:r>
      <w:r w:rsidR="001F514A">
        <w:t xml:space="preserve">with </w:t>
      </w:r>
      <w:r>
        <w:t>minimal specification change. This is because the resource pools need to only be configured accordingly in order to be orthogonal to each other in time and/or frequency. While it was argued in the previous meeting that existing and already-deployed LTE UEs can have their resource pool configurations updated to be partitioned from NR SL resource pools, it is seemingly difficult to do so in a timely and flexible mann</w:t>
      </w:r>
      <w:r w:rsidR="00464FD7">
        <w:t xml:space="preserve">er. However, this </w:t>
      </w:r>
      <w:r w:rsidR="001F514A">
        <w:t>is</w:t>
      </w:r>
      <w:r w:rsidR="00464FD7">
        <w:t xml:space="preserve"> an issue that is out of the scope of RAN1 discussions</w:t>
      </w:r>
      <w:r w:rsidR="00374483">
        <w:t>, as captured in [3]</w:t>
      </w:r>
      <w:r w:rsidR="00464FD7">
        <w:t>.</w:t>
      </w:r>
    </w:p>
    <w:p w14:paraId="752FB2D7" w14:textId="5265553F" w:rsidR="00141A39" w:rsidRDefault="00141A39" w:rsidP="002872AB">
      <w:pPr>
        <w:pStyle w:val="3GPPNormalText"/>
      </w:pPr>
      <w:r>
        <w:t>There are two possible flavors of semi-static resource pool partitioning – TDM-based and FDM-bas</w:t>
      </w:r>
      <w:r w:rsidR="003E36BF">
        <w:t xml:space="preserve">ed resource pool partitioning, </w:t>
      </w:r>
      <w:r w:rsidR="00160D92">
        <w:t xml:space="preserve">which </w:t>
      </w:r>
      <w:r>
        <w:t>are depicted in Figure 2</w:t>
      </w:r>
      <w:r w:rsidR="003E36BF">
        <w:t>.</w:t>
      </w:r>
    </w:p>
    <w:p w14:paraId="62EF5271" w14:textId="27FA5286" w:rsidR="006A345A" w:rsidRDefault="006A345A" w:rsidP="006A345A">
      <w:pPr>
        <w:pStyle w:val="3GPPNormalText"/>
        <w:keepNext/>
      </w:pPr>
      <w:r w:rsidRPr="006A345A">
        <w:rPr>
          <w:noProof/>
        </w:rPr>
        <w:drawing>
          <wp:inline distT="0" distB="0" distL="0" distR="0" wp14:anchorId="590F8A20" wp14:editId="5A033BBF">
            <wp:extent cx="6332220" cy="16957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1695759"/>
                    </a:xfrm>
                    <a:prstGeom prst="rect">
                      <a:avLst/>
                    </a:prstGeom>
                    <a:noFill/>
                    <a:ln>
                      <a:noFill/>
                    </a:ln>
                  </pic:spPr>
                </pic:pic>
              </a:graphicData>
            </a:graphic>
          </wp:inline>
        </w:drawing>
      </w:r>
    </w:p>
    <w:p w14:paraId="512F8E55" w14:textId="1F70F4D4" w:rsidR="006A345A" w:rsidRPr="006A345A" w:rsidRDefault="006A345A" w:rsidP="006A345A">
      <w:pPr>
        <w:pStyle w:val="Caption"/>
        <w:jc w:val="center"/>
        <w:rPr>
          <w:i/>
        </w:rPr>
      </w:pPr>
      <w:r w:rsidRPr="006A345A">
        <w:rPr>
          <w:i/>
        </w:rPr>
        <w:t xml:space="preserve">Figure </w:t>
      </w:r>
      <w:r w:rsidRPr="006A345A">
        <w:rPr>
          <w:i/>
        </w:rPr>
        <w:fldChar w:fldCharType="begin"/>
      </w:r>
      <w:r w:rsidRPr="006A345A">
        <w:rPr>
          <w:i/>
        </w:rPr>
        <w:instrText xml:space="preserve"> SEQ Figure \* ARABIC </w:instrText>
      </w:r>
      <w:r w:rsidRPr="006A345A">
        <w:rPr>
          <w:i/>
        </w:rPr>
        <w:fldChar w:fldCharType="separate"/>
      </w:r>
      <w:r w:rsidR="002D518A">
        <w:rPr>
          <w:i/>
          <w:noProof/>
        </w:rPr>
        <w:t>2</w:t>
      </w:r>
      <w:r w:rsidRPr="006A345A">
        <w:rPr>
          <w:i/>
        </w:rPr>
        <w:fldChar w:fldCharType="end"/>
      </w:r>
      <w:r w:rsidRPr="006A345A">
        <w:rPr>
          <w:i/>
        </w:rPr>
        <w:t xml:space="preserve">: </w:t>
      </w:r>
      <w:r w:rsidRPr="006A345A">
        <w:rPr>
          <w:b w:val="0"/>
          <w:i/>
        </w:rPr>
        <w:t>TDM-based and FDM-based semi-static resource pool partitioning</w:t>
      </w:r>
    </w:p>
    <w:p w14:paraId="7411501D" w14:textId="2C57DE36" w:rsidR="00464FD7" w:rsidRDefault="00F65754" w:rsidP="00F65754">
      <w:pPr>
        <w:pStyle w:val="3GPPNormalText"/>
      </w:pPr>
      <w:r>
        <w:t xml:space="preserve">TDM-based resource pool partitioning is where separate resource pools for LTE </w:t>
      </w:r>
      <w:r w:rsidR="00374483">
        <w:t>V2X</w:t>
      </w:r>
      <w:r>
        <w:t xml:space="preserve"> and NR SL are configured in orthogonal time slots, but share the same subchannels. The </w:t>
      </w:r>
      <w:r w:rsidR="00464FD7">
        <w:t xml:space="preserve">challenge specifically for TDM-based resource pool partitioning is latency delay due to the fact that the UE can transmit a TB only in time slots where the resource </w:t>
      </w:r>
      <w:r w:rsidR="00464FD7">
        <w:lastRenderedPageBreak/>
        <w:t>pool bitmap indicates that it is allowed to do so. This would result in the UE not being able to transmit in other time slots, leading to a delay that would not enable a UE to transmit a given TB within the remaining PDB.</w:t>
      </w:r>
    </w:p>
    <w:p w14:paraId="1AD939B7" w14:textId="488D2940" w:rsidR="001F514A" w:rsidRDefault="00F65754" w:rsidP="00464FD7">
      <w:pPr>
        <w:pStyle w:val="3GPPNormalText"/>
      </w:pPr>
      <w:r>
        <w:t xml:space="preserve">FDM-based resource pool partitioning is where the resource pools for LTE </w:t>
      </w:r>
      <w:r w:rsidR="00374483">
        <w:t xml:space="preserve">V2X </w:t>
      </w:r>
      <w:r>
        <w:t xml:space="preserve">and NR </w:t>
      </w:r>
      <w:r w:rsidR="00374483">
        <w:t>SL</w:t>
      </w:r>
      <w:r>
        <w:t xml:space="preserve"> are defined in the same time slots but across different sub-channels. The challenge specifically for this type of resource pool partitioning is the AGC issue caused due to NR SL transmissions with LTE SL reception</w:t>
      </w:r>
      <w:r w:rsidR="00374483">
        <w:t>, which has been described in detail in [4]</w:t>
      </w:r>
      <w:r>
        <w:t>.</w:t>
      </w:r>
      <w:r w:rsidR="001F514A">
        <w:t xml:space="preserve"> The LTE V2X UE uses the first symbol of each subframe to adjust the AGC gain and prevent saturation at the ADC. This leads to two main issues:</w:t>
      </w:r>
    </w:p>
    <w:p w14:paraId="5F38FCE3" w14:textId="5D079055" w:rsidR="001F514A" w:rsidRDefault="0021353A" w:rsidP="00D11A1B">
      <w:pPr>
        <w:pStyle w:val="3GPPNormalText"/>
        <w:numPr>
          <w:ilvl w:val="0"/>
          <w:numId w:val="11"/>
        </w:numPr>
        <w:ind w:left="360"/>
      </w:pPr>
      <w:r>
        <w:t>When</w:t>
      </w:r>
      <w:r w:rsidR="001F514A">
        <w:t xml:space="preserve"> an NR </w:t>
      </w:r>
      <w:r w:rsidR="00374483">
        <w:t>SL</w:t>
      </w:r>
      <w:r w:rsidR="001F514A">
        <w:t xml:space="preserve"> resource pool</w:t>
      </w:r>
      <w:r w:rsidR="00784836">
        <w:t>,</w:t>
      </w:r>
      <w:r>
        <w:t xml:space="preserve"> configured </w:t>
      </w:r>
      <w:r w:rsidR="001F514A">
        <w:t>with a SCS that is other than 15</w:t>
      </w:r>
      <w:r w:rsidR="00784836">
        <w:t xml:space="preserve"> </w:t>
      </w:r>
      <w:r w:rsidR="001F514A">
        <w:t>kHz</w:t>
      </w:r>
      <w:r w:rsidR="00784836">
        <w:t>,</w:t>
      </w:r>
      <w:r>
        <w:t xml:space="preserve"> is </w:t>
      </w:r>
      <w:proofErr w:type="spellStart"/>
      <w:r>
        <w:t>FDMed</w:t>
      </w:r>
      <w:proofErr w:type="spellEnd"/>
      <w:r>
        <w:t xml:space="preserve"> with a LTE V2X resource pool</w:t>
      </w:r>
      <w:r w:rsidR="001F514A">
        <w:t xml:space="preserve">, which </w:t>
      </w:r>
      <w:r>
        <w:t>can be configured with only 15</w:t>
      </w:r>
      <w:r w:rsidR="00B1659B">
        <w:t xml:space="preserve"> </w:t>
      </w:r>
      <w:r>
        <w:t>kHz SCS</w:t>
      </w:r>
      <w:r w:rsidR="001F514A">
        <w:t xml:space="preserve">, it would cause power variations in the </w:t>
      </w:r>
      <w:r>
        <w:t xml:space="preserve">LTE </w:t>
      </w:r>
      <w:r w:rsidR="001F514A">
        <w:t xml:space="preserve">UEs AGC setting. One way to solve this AGC issue is to ensure that the NR </w:t>
      </w:r>
      <w:r w:rsidR="00374483">
        <w:t>SL</w:t>
      </w:r>
      <w:r w:rsidR="001F514A">
        <w:t xml:space="preserve"> resource pools are restricted to using only 15</w:t>
      </w:r>
      <w:r w:rsidR="00784836">
        <w:t xml:space="preserve"> </w:t>
      </w:r>
      <w:r w:rsidR="001F514A">
        <w:t>kHz SCS.</w:t>
      </w:r>
    </w:p>
    <w:p w14:paraId="35EE1DCC" w14:textId="2261DB27" w:rsidR="00F65754" w:rsidRDefault="001F514A" w:rsidP="002401B6">
      <w:pPr>
        <w:pStyle w:val="3GPPNormalText"/>
        <w:numPr>
          <w:ilvl w:val="0"/>
          <w:numId w:val="11"/>
        </w:numPr>
        <w:ind w:left="360"/>
      </w:pPr>
      <w:r>
        <w:t xml:space="preserve">Another AGC issue arises when the NR </w:t>
      </w:r>
      <w:r w:rsidR="00374483">
        <w:t>SL</w:t>
      </w:r>
      <w:r>
        <w:t xml:space="preserve"> resource pool is configured with PSFCH symbols at the end of the time slot. </w:t>
      </w:r>
      <w:r w:rsidR="00374483">
        <w:t xml:space="preserve">When there is an overlap of LTE V2X subframes with NR SL time slots with PSFCH enabled, it </w:t>
      </w:r>
      <w:r>
        <w:t>would cause AGC setting issues to the LTE V2X UEs.</w:t>
      </w:r>
      <w:r w:rsidR="00374483">
        <w:t xml:space="preserve"> In order to overcome this issue, it might be required for these NR SL resource pools to have PSFCH not configured.</w:t>
      </w:r>
      <w:r w:rsidR="00C05D93">
        <w:t xml:space="preserve"> </w:t>
      </w:r>
      <w:r w:rsidR="00784836">
        <w:t>This would mean that transmissions taking place in this resource pool can support only blind retransmissions, and no HARQ based transmissions can be permitted in the resource pool.</w:t>
      </w:r>
      <w:r w:rsidR="00784836">
        <w:t xml:space="preserve"> </w:t>
      </w:r>
      <w:r w:rsidR="00C05D93">
        <w:t>However, since the PSFCH spans only 2-3 symbols, the impact on the AGC settings due to power variations would not be as problemat</w:t>
      </w:r>
      <w:r w:rsidR="00784836">
        <w:t>ic as compared to the AGC issue</w:t>
      </w:r>
      <w:r w:rsidR="00C05D93">
        <w:t xml:space="preserve"> due to different SCSs. </w:t>
      </w:r>
    </w:p>
    <w:p w14:paraId="5ACE9334" w14:textId="5A7DA0A9" w:rsidR="0021353A" w:rsidRPr="00AF508A" w:rsidRDefault="002872AB" w:rsidP="002401B6">
      <w:pPr>
        <w:pStyle w:val="3GPPNormalText"/>
        <w:rPr>
          <w:b/>
        </w:rPr>
      </w:pPr>
      <w:r w:rsidRPr="00AF508A">
        <w:rPr>
          <w:b/>
        </w:rPr>
        <w:t xml:space="preserve">Proposal </w:t>
      </w:r>
      <w:r w:rsidR="007C69CB">
        <w:rPr>
          <w:b/>
        </w:rPr>
        <w:t>3</w:t>
      </w:r>
      <w:r w:rsidRPr="00AF508A">
        <w:rPr>
          <w:b/>
        </w:rPr>
        <w:t>:</w:t>
      </w:r>
      <w:r w:rsidR="0021353A">
        <w:rPr>
          <w:b/>
        </w:rPr>
        <w:t xml:space="preserve"> For semi-static resource pool partitioning, we propose </w:t>
      </w:r>
      <w:r w:rsidR="00C05D93">
        <w:rPr>
          <w:b/>
        </w:rPr>
        <w:t>to s</w:t>
      </w:r>
      <w:r w:rsidR="0021353A">
        <w:rPr>
          <w:b/>
        </w:rPr>
        <w:t>up</w:t>
      </w:r>
      <w:bookmarkStart w:id="0" w:name="_GoBack"/>
      <w:bookmarkEnd w:id="0"/>
      <w:r w:rsidR="0021353A">
        <w:rPr>
          <w:b/>
        </w:rPr>
        <w:t>port FDM-based resource pool partitioning only if the SCS for NR SL resource pools is restricted to 15</w:t>
      </w:r>
      <w:r w:rsidR="00B1659B">
        <w:rPr>
          <w:b/>
        </w:rPr>
        <w:t xml:space="preserve"> </w:t>
      </w:r>
      <w:r w:rsidR="0021353A">
        <w:rPr>
          <w:b/>
        </w:rPr>
        <w:t>kHz, in order to overcome AGC issues.</w:t>
      </w:r>
    </w:p>
    <w:p w14:paraId="5EBAD762" w14:textId="77777777" w:rsidR="002872AB" w:rsidRDefault="002872AB" w:rsidP="002E57D6">
      <w:pPr>
        <w:pStyle w:val="3GPPNormalText"/>
      </w:pPr>
    </w:p>
    <w:p w14:paraId="0EB99B5F" w14:textId="4D61C7D7" w:rsidR="002872AB" w:rsidRDefault="002872AB" w:rsidP="002872AB">
      <w:pPr>
        <w:pStyle w:val="Heading2"/>
        <w:tabs>
          <w:tab w:val="clear" w:pos="718"/>
        </w:tabs>
        <w:ind w:left="540"/>
      </w:pPr>
      <w:r>
        <w:t>Dynamic Resource Pool Sharing</w:t>
      </w:r>
    </w:p>
    <w:p w14:paraId="29F81BF0" w14:textId="4B56EBF2" w:rsidR="00DD0F47" w:rsidRDefault="003E36BF" w:rsidP="00DD0F47">
      <w:pPr>
        <w:pStyle w:val="3GPPNormalText"/>
      </w:pPr>
      <w:r>
        <w:t>Dynamic resource pool sharing is where both the LTE V2X and NR SL resource pools are configured on overlapping resources in time and frequency. In essence, both LTE V2X and NR SL UEs would be sharing the same resources within configured resource pools</w:t>
      </w:r>
      <w:r w:rsidR="00DD0F47">
        <w:t>, as seen in Figure 3</w:t>
      </w:r>
      <w:r>
        <w:t xml:space="preserve">. </w:t>
      </w:r>
    </w:p>
    <w:p w14:paraId="04271A92" w14:textId="77777777" w:rsidR="002D518A" w:rsidRDefault="006A345A" w:rsidP="002D518A">
      <w:pPr>
        <w:pStyle w:val="3GPPNormalText"/>
        <w:keepNext/>
      </w:pPr>
      <w:r w:rsidRPr="006A345A">
        <w:rPr>
          <w:noProof/>
        </w:rPr>
        <w:drawing>
          <wp:inline distT="0" distB="0" distL="0" distR="0" wp14:anchorId="3A574271" wp14:editId="11854768">
            <wp:extent cx="6332220" cy="143066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1430667"/>
                    </a:xfrm>
                    <a:prstGeom prst="rect">
                      <a:avLst/>
                    </a:prstGeom>
                    <a:noFill/>
                    <a:ln>
                      <a:noFill/>
                    </a:ln>
                  </pic:spPr>
                </pic:pic>
              </a:graphicData>
            </a:graphic>
          </wp:inline>
        </w:drawing>
      </w:r>
    </w:p>
    <w:p w14:paraId="1A55C06C" w14:textId="13069400" w:rsidR="006A345A" w:rsidRPr="002D518A" w:rsidRDefault="002D518A" w:rsidP="002D518A">
      <w:pPr>
        <w:pStyle w:val="Caption"/>
        <w:jc w:val="center"/>
        <w:rPr>
          <w:i/>
        </w:rPr>
      </w:pPr>
      <w:r w:rsidRPr="002D518A">
        <w:rPr>
          <w:i/>
        </w:rPr>
        <w:t xml:space="preserve">Figure </w:t>
      </w:r>
      <w:r w:rsidRPr="002D518A">
        <w:rPr>
          <w:i/>
        </w:rPr>
        <w:fldChar w:fldCharType="begin"/>
      </w:r>
      <w:r w:rsidRPr="002D518A">
        <w:rPr>
          <w:i/>
        </w:rPr>
        <w:instrText xml:space="preserve"> SEQ Figure \* ARABIC </w:instrText>
      </w:r>
      <w:r w:rsidRPr="002D518A">
        <w:rPr>
          <w:i/>
        </w:rPr>
        <w:fldChar w:fldCharType="separate"/>
      </w:r>
      <w:r w:rsidRPr="002D518A">
        <w:rPr>
          <w:i/>
          <w:noProof/>
        </w:rPr>
        <w:t>3</w:t>
      </w:r>
      <w:r w:rsidRPr="002D518A">
        <w:rPr>
          <w:i/>
        </w:rPr>
        <w:fldChar w:fldCharType="end"/>
      </w:r>
      <w:r w:rsidRPr="002D518A">
        <w:rPr>
          <w:i/>
        </w:rPr>
        <w:t xml:space="preserve">: </w:t>
      </w:r>
      <w:r w:rsidRPr="002D518A">
        <w:rPr>
          <w:b w:val="0"/>
          <w:i/>
        </w:rPr>
        <w:t>Dynamic resource pool sharing</w:t>
      </w:r>
    </w:p>
    <w:p w14:paraId="358DE4C5" w14:textId="208956C0" w:rsidR="002D518A" w:rsidRDefault="002D518A" w:rsidP="003C6C1A">
      <w:pPr>
        <w:pStyle w:val="3GPPNormalText"/>
      </w:pPr>
      <w:r>
        <w:t>However, the AGC issues present in the FDM-based resource pool partitioning solution also exists in dynamic resource pools. Hence, here too, the dynamic resource pools would have to be restricted to a maximum SCS of 15</w:t>
      </w:r>
      <w:r w:rsidR="00784836">
        <w:t> </w:t>
      </w:r>
      <w:proofErr w:type="gramStart"/>
      <w:r>
        <w:t>kHz</w:t>
      </w:r>
      <w:proofErr w:type="gramEnd"/>
      <w:r>
        <w:t>.</w:t>
      </w:r>
    </w:p>
    <w:p w14:paraId="34DFE12A" w14:textId="4FD1D80B" w:rsidR="00DD0F47" w:rsidRPr="00DD0F47" w:rsidRDefault="00DD0F47" w:rsidP="003C6C1A">
      <w:pPr>
        <w:pStyle w:val="3GPPNormalText"/>
        <w:rPr>
          <w:b/>
        </w:rPr>
      </w:pPr>
      <w:r w:rsidRPr="00DD0F47">
        <w:rPr>
          <w:b/>
        </w:rPr>
        <w:t>Proposal 4: For dynamic resource pool sharing, we propose to restrict the SCS for NR SL resource pools to 15</w:t>
      </w:r>
      <w:r w:rsidR="00784836">
        <w:rPr>
          <w:b/>
        </w:rPr>
        <w:t xml:space="preserve"> </w:t>
      </w:r>
      <w:r w:rsidRPr="00DD0F47">
        <w:rPr>
          <w:b/>
        </w:rPr>
        <w:t>kHz.</w:t>
      </w:r>
    </w:p>
    <w:p w14:paraId="46A11A05" w14:textId="77777777" w:rsidR="00DD0F47" w:rsidRDefault="00DD0F47" w:rsidP="003C6C1A">
      <w:pPr>
        <w:pStyle w:val="3GPPNormalText"/>
      </w:pPr>
    </w:p>
    <w:p w14:paraId="73A21880" w14:textId="2E4921C4" w:rsidR="00DD0F47" w:rsidRDefault="003E36BF" w:rsidP="003C6C1A">
      <w:pPr>
        <w:pStyle w:val="3GPPNormalText"/>
      </w:pPr>
      <w:r>
        <w:t xml:space="preserve">Since no changes can be done to the LTE V2X specifications, as agreed in [3], NR SL UEs need to be aware of resources being used by LTE V2X UEs. </w:t>
      </w:r>
      <w:r w:rsidR="00F036CF">
        <w:t xml:space="preserve">In this case, specification changes are required for the NR SL UEs to take </w:t>
      </w:r>
      <w:r w:rsidR="00F036CF">
        <w:lastRenderedPageBreak/>
        <w:t xml:space="preserve">into account these resources and avoid selecting them for their own transmissions. </w:t>
      </w:r>
      <w:r w:rsidR="00DD0F47">
        <w:t>These changes differ depending on the device type that is being considered, as described in Section 3, the details of which are discussed below.</w:t>
      </w:r>
    </w:p>
    <w:p w14:paraId="07C4EFC1" w14:textId="39BAA11D" w:rsidR="003E36BF" w:rsidRDefault="003E36BF" w:rsidP="003E36BF">
      <w:pPr>
        <w:pStyle w:val="Heading3"/>
      </w:pPr>
      <w:r>
        <w:t xml:space="preserve">Type </w:t>
      </w:r>
      <w:proofErr w:type="gramStart"/>
      <w:r>
        <w:t>A</w:t>
      </w:r>
      <w:proofErr w:type="gramEnd"/>
      <w:r>
        <w:t xml:space="preserve"> Devices</w:t>
      </w:r>
    </w:p>
    <w:p w14:paraId="67FB5DFD" w14:textId="6EAF2D7D" w:rsidR="00F036CF" w:rsidRDefault="00F65754" w:rsidP="003C6C1A">
      <w:pPr>
        <w:pStyle w:val="3GPPNormalText"/>
      </w:pPr>
      <w:r>
        <w:t>If type A</w:t>
      </w:r>
      <w:r w:rsidR="007C69CB">
        <w:t xml:space="preserve"> devices are supported, the NR SL module can obtain information from the LTE </w:t>
      </w:r>
      <w:r w:rsidR="0021353A">
        <w:t xml:space="preserve">V2X </w:t>
      </w:r>
      <w:r w:rsidR="007C69CB">
        <w:t xml:space="preserve">module informing it about the resources that are being occupied by LTE </w:t>
      </w:r>
      <w:r w:rsidR="0021353A">
        <w:t xml:space="preserve">V2X </w:t>
      </w:r>
      <w:r w:rsidR="007C69CB">
        <w:t xml:space="preserve">transmissions. </w:t>
      </w:r>
      <w:r w:rsidR="00F036CF">
        <w:t>The LTE V2X module can forward the sensing results to the NR SL module which can then take</w:t>
      </w:r>
      <w:r w:rsidR="007C69CB">
        <w:t xml:space="preserve"> these resources</w:t>
      </w:r>
      <w:r w:rsidR="00F036CF">
        <w:t xml:space="preserve"> into account</w:t>
      </w:r>
      <w:r w:rsidR="007C69CB">
        <w:t xml:space="preserve"> during its sensing and resource selection process.</w:t>
      </w:r>
      <w:r w:rsidR="00F036CF">
        <w:t xml:space="preserve"> The Rel-16 in-device coexistence procedures can be reused for forwarding such information to the NR SL module, while the resource selection procedure defined in [5] needs to exclude resources that are being used by LTE V2X transmissions.</w:t>
      </w:r>
    </w:p>
    <w:p w14:paraId="51710D45" w14:textId="17210CD2" w:rsidR="00F036CF" w:rsidRDefault="00F036CF" w:rsidP="003C6C1A">
      <w:pPr>
        <w:pStyle w:val="3GPPNormalText"/>
        <w:rPr>
          <w:b/>
        </w:rPr>
      </w:pPr>
      <w:r w:rsidRPr="00F036CF">
        <w:rPr>
          <w:b/>
        </w:rPr>
        <w:t xml:space="preserve">Proposal </w:t>
      </w:r>
      <w:r w:rsidR="00DD0F47">
        <w:rPr>
          <w:b/>
        </w:rPr>
        <w:t>5</w:t>
      </w:r>
      <w:r w:rsidRPr="00F036CF">
        <w:rPr>
          <w:b/>
        </w:rPr>
        <w:t xml:space="preserve">: For dynamic resource pool sharing in type </w:t>
      </w:r>
      <w:proofErr w:type="gramStart"/>
      <w:r w:rsidRPr="00F036CF">
        <w:rPr>
          <w:b/>
        </w:rPr>
        <w:t>A</w:t>
      </w:r>
      <w:proofErr w:type="gramEnd"/>
      <w:r w:rsidRPr="00F036CF">
        <w:rPr>
          <w:b/>
        </w:rPr>
        <w:t xml:space="preserve"> devices, we propose that the NR SL module takes into account the sensing results from the LTE V2X module to exclude resources that are being used by LTE V2X transmissions.</w:t>
      </w:r>
    </w:p>
    <w:p w14:paraId="7E1E11E2" w14:textId="77777777" w:rsidR="00F036CF" w:rsidRPr="00F036CF" w:rsidRDefault="00F036CF" w:rsidP="003C6C1A">
      <w:pPr>
        <w:pStyle w:val="3GPPNormalText"/>
        <w:rPr>
          <w:b/>
        </w:rPr>
      </w:pPr>
    </w:p>
    <w:p w14:paraId="01DA151C" w14:textId="24658BF3" w:rsidR="00F036CF" w:rsidRDefault="00F036CF" w:rsidP="00F036CF">
      <w:pPr>
        <w:pStyle w:val="Heading3"/>
      </w:pPr>
      <w:r>
        <w:t>Type B Devices</w:t>
      </w:r>
    </w:p>
    <w:p w14:paraId="45E7342E" w14:textId="77777777" w:rsidR="00DD0F47" w:rsidRDefault="00F036CF" w:rsidP="00F036CF">
      <w:pPr>
        <w:pStyle w:val="3GPPNormalText"/>
      </w:pPr>
      <w:r>
        <w:t xml:space="preserve">In the absence of LTE V2X sensing information, </w:t>
      </w:r>
      <w:r w:rsidR="007C69CB">
        <w:t xml:space="preserve">the NR SL modem </w:t>
      </w:r>
      <w:r>
        <w:t xml:space="preserve">in type B devices </w:t>
      </w:r>
      <w:r w:rsidR="007C69CB">
        <w:t xml:space="preserve">need to perform basic LTE measurements while performing its sensing and resource selection process to identify resources that are being occupied by LTE </w:t>
      </w:r>
      <w:r w:rsidR="0021353A">
        <w:t>V2X</w:t>
      </w:r>
      <w:r w:rsidR="007C69CB">
        <w:t xml:space="preserve"> transmissions. Alternatively, type B devices can also co-exist with other type </w:t>
      </w:r>
      <w:proofErr w:type="gramStart"/>
      <w:r w:rsidR="007C69CB">
        <w:t>A</w:t>
      </w:r>
      <w:proofErr w:type="gramEnd"/>
      <w:r w:rsidR="007C69CB">
        <w:t xml:space="preserve"> devices where type A devices send IUC messages to type B devices, informing them of the non-preferred resources that are being used by LTE </w:t>
      </w:r>
      <w:r w:rsidR="0021353A">
        <w:t xml:space="preserve">V2X </w:t>
      </w:r>
      <w:r w:rsidR="007C69CB">
        <w:t xml:space="preserve">transmissions. </w:t>
      </w:r>
    </w:p>
    <w:p w14:paraId="10DDFBD5" w14:textId="58826786" w:rsidR="003E36BF" w:rsidRDefault="007C69CB" w:rsidP="003C6C1A">
      <w:pPr>
        <w:pStyle w:val="3GPPNormalText"/>
      </w:pPr>
      <w:r>
        <w:t xml:space="preserve">In the event where type B devices are not aware of the resources being used by LTE </w:t>
      </w:r>
      <w:r w:rsidR="0021353A">
        <w:t xml:space="preserve">V2X </w:t>
      </w:r>
      <w:r>
        <w:t>transmissions, it can choose multiple configuration-based solutions</w:t>
      </w:r>
      <w:r w:rsidR="00784836">
        <w:t xml:space="preserve"> to avoid resource collisions. For example,</w:t>
      </w:r>
      <w:r>
        <w:t xml:space="preserve"> for periodic transmissions, it can select smaller resource reselection counter values, thereby triggering resource reselection more often. This would avoid consecutive periodic resource collisions with LTE </w:t>
      </w:r>
      <w:r w:rsidR="0021353A">
        <w:t xml:space="preserve">V2X </w:t>
      </w:r>
      <w:r>
        <w:t xml:space="preserve">transmissions. It can also be configured to use only certain periodicities that are orthogonal to those being used in LTE </w:t>
      </w:r>
      <w:r w:rsidR="0021353A">
        <w:t xml:space="preserve">V2X </w:t>
      </w:r>
      <w:r>
        <w:t>transmissions, to avoid any potential collisions. Such solutions can be explored in more detail.</w:t>
      </w:r>
    </w:p>
    <w:p w14:paraId="5B884AE6" w14:textId="1A5F64FE" w:rsidR="007C69CB" w:rsidRDefault="007C69CB" w:rsidP="00DD0F47">
      <w:pPr>
        <w:pStyle w:val="3GPPNormalText"/>
        <w:spacing w:after="0"/>
        <w:rPr>
          <w:b/>
        </w:rPr>
      </w:pPr>
      <w:r w:rsidRPr="00AF508A">
        <w:rPr>
          <w:b/>
        </w:rPr>
        <w:t xml:space="preserve">Proposal </w:t>
      </w:r>
      <w:r w:rsidR="00DD0F47">
        <w:rPr>
          <w:b/>
        </w:rPr>
        <w:t>6</w:t>
      </w:r>
      <w:r w:rsidRPr="00AF508A">
        <w:rPr>
          <w:b/>
        </w:rPr>
        <w:t>:</w:t>
      </w:r>
      <w:r w:rsidR="00DD0F47">
        <w:rPr>
          <w:b/>
        </w:rPr>
        <w:t xml:space="preserve"> For dynamic resource pool sharing in type B devices, we propose to study the following:</w:t>
      </w:r>
    </w:p>
    <w:p w14:paraId="52031936" w14:textId="08874FA8" w:rsidR="00DD0F47" w:rsidRDefault="00DD0F47" w:rsidP="00D11A1B">
      <w:pPr>
        <w:pStyle w:val="3GPPNormalText"/>
        <w:numPr>
          <w:ilvl w:val="0"/>
          <w:numId w:val="12"/>
        </w:numPr>
        <w:spacing w:after="0"/>
        <w:ind w:left="360"/>
        <w:rPr>
          <w:b/>
        </w:rPr>
      </w:pPr>
      <w:r>
        <w:rPr>
          <w:b/>
        </w:rPr>
        <w:t>Perform basic LTE measurements to determine resources occupied by LTE V2X transmissions.</w:t>
      </w:r>
    </w:p>
    <w:p w14:paraId="4A079215" w14:textId="16299ACE" w:rsidR="00DD0F47" w:rsidRDefault="00DD0F47" w:rsidP="00D11A1B">
      <w:pPr>
        <w:pStyle w:val="3GPPNormalText"/>
        <w:numPr>
          <w:ilvl w:val="0"/>
          <w:numId w:val="12"/>
        </w:numPr>
        <w:spacing w:after="0"/>
        <w:ind w:left="360"/>
        <w:rPr>
          <w:b/>
        </w:rPr>
      </w:pPr>
      <w:r>
        <w:rPr>
          <w:b/>
        </w:rPr>
        <w:t xml:space="preserve">Use IUCs from other type </w:t>
      </w:r>
      <w:proofErr w:type="gramStart"/>
      <w:r>
        <w:rPr>
          <w:b/>
        </w:rPr>
        <w:t>A</w:t>
      </w:r>
      <w:proofErr w:type="gramEnd"/>
      <w:r>
        <w:rPr>
          <w:b/>
        </w:rPr>
        <w:t xml:space="preserve"> devices that provide non-preferred resources that include resources occupied by LTE V2X transmissions.</w:t>
      </w:r>
    </w:p>
    <w:p w14:paraId="552490C0" w14:textId="1ABA1BA3" w:rsidR="00DD0F47" w:rsidRPr="00AF508A" w:rsidRDefault="00DD0F47" w:rsidP="00D11A1B">
      <w:pPr>
        <w:pStyle w:val="3GPPNormalText"/>
        <w:numPr>
          <w:ilvl w:val="0"/>
          <w:numId w:val="12"/>
        </w:numPr>
        <w:ind w:left="360"/>
        <w:rPr>
          <w:b/>
        </w:rPr>
      </w:pPr>
      <w:r>
        <w:rPr>
          <w:b/>
        </w:rPr>
        <w:t>In the absence of LTE resource allocation information, use configuration-based solutions to decrease the probability of resource collisions between LTE V2X and NR SL transmissions.</w:t>
      </w:r>
    </w:p>
    <w:p w14:paraId="6A205152" w14:textId="77777777" w:rsidR="003C6C1A" w:rsidRPr="00F96DCD" w:rsidRDefault="003C6C1A" w:rsidP="003C6C1A">
      <w:pPr>
        <w:pStyle w:val="3GPPNormalText"/>
      </w:pPr>
    </w:p>
    <w:p w14:paraId="3CCF633B" w14:textId="77777777" w:rsidR="00C05AC4" w:rsidRPr="00B41BCC" w:rsidRDefault="00C05AC4" w:rsidP="00C05AC4">
      <w:pPr>
        <w:pStyle w:val="Heading1"/>
        <w:tabs>
          <w:tab w:val="clear" w:pos="432"/>
        </w:tabs>
        <w:rPr>
          <w:snapToGrid w:val="0"/>
          <w:lang w:val="en-US"/>
        </w:rPr>
      </w:pPr>
      <w:r w:rsidRPr="00990ECA">
        <w:rPr>
          <w:lang w:val="en-US"/>
        </w:rPr>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40D7FFDE" w14:textId="1DCA588C" w:rsidR="00E634BB" w:rsidRPr="002E1B5D" w:rsidRDefault="00E634BB" w:rsidP="00E634BB">
      <w:pPr>
        <w:pStyle w:val="3GPPNormalText"/>
        <w:rPr>
          <w:b/>
        </w:rPr>
      </w:pPr>
      <w:r w:rsidRPr="002E1B5D">
        <w:rPr>
          <w:b/>
        </w:rPr>
        <w:t>Proposal 1: For co-channel coexistence between NR SL and LTE</w:t>
      </w:r>
      <w:r>
        <w:rPr>
          <w:b/>
        </w:rPr>
        <w:t xml:space="preserve"> V2X</w:t>
      </w:r>
      <w:r w:rsidRPr="002E1B5D">
        <w:rPr>
          <w:b/>
        </w:rPr>
        <w:t xml:space="preserve">, we propose that at least type </w:t>
      </w:r>
      <w:proofErr w:type="gramStart"/>
      <w:r w:rsidRPr="002E1B5D">
        <w:rPr>
          <w:b/>
        </w:rPr>
        <w:t>A</w:t>
      </w:r>
      <w:proofErr w:type="gramEnd"/>
      <w:r w:rsidRPr="002E1B5D">
        <w:rPr>
          <w:b/>
        </w:rPr>
        <w:t xml:space="preserve"> devices are supported, where the</w:t>
      </w:r>
      <w:r w:rsidR="00EC1ED5">
        <w:rPr>
          <w:b/>
        </w:rPr>
        <w:t xml:space="preserve"> device</w:t>
      </w:r>
      <w:r w:rsidRPr="002E1B5D">
        <w:rPr>
          <w:b/>
        </w:rPr>
        <w:t xml:space="preserve"> contain</w:t>
      </w:r>
      <w:r w:rsidR="00EC1ED5">
        <w:rPr>
          <w:b/>
        </w:rPr>
        <w:t>s</w:t>
      </w:r>
      <w:r w:rsidRPr="002E1B5D">
        <w:rPr>
          <w:b/>
        </w:rPr>
        <w:t xml:space="preserve"> both an NR SL modem and a</w:t>
      </w:r>
      <w:r w:rsidR="00EC1ED5">
        <w:rPr>
          <w:b/>
        </w:rPr>
        <w:t>n</w:t>
      </w:r>
      <w:r w:rsidRPr="002E1B5D">
        <w:rPr>
          <w:b/>
        </w:rPr>
        <w:t xml:space="preserve"> LTE </w:t>
      </w:r>
      <w:r>
        <w:rPr>
          <w:b/>
        </w:rPr>
        <w:t>V2X</w:t>
      </w:r>
      <w:r w:rsidRPr="002E1B5D">
        <w:rPr>
          <w:b/>
        </w:rPr>
        <w:t xml:space="preserve"> modem.</w:t>
      </w:r>
    </w:p>
    <w:p w14:paraId="397FCF6D" w14:textId="6773A6B8" w:rsidR="00E634BB" w:rsidRDefault="00E634BB" w:rsidP="00E634BB">
      <w:pPr>
        <w:pStyle w:val="3GPPNormalText"/>
        <w:rPr>
          <w:b/>
        </w:rPr>
      </w:pPr>
      <w:r w:rsidRPr="002E1B5D">
        <w:rPr>
          <w:b/>
        </w:rPr>
        <w:t xml:space="preserve">Proposal 2: Study how type B devices </w:t>
      </w:r>
      <w:r w:rsidR="00EC1ED5">
        <w:rPr>
          <w:b/>
        </w:rPr>
        <w:t>containing</w:t>
      </w:r>
      <w:r w:rsidR="00EC1ED5" w:rsidRPr="002E1B5D">
        <w:rPr>
          <w:b/>
        </w:rPr>
        <w:t xml:space="preserve"> </w:t>
      </w:r>
      <w:r w:rsidRPr="002E1B5D">
        <w:rPr>
          <w:b/>
        </w:rPr>
        <w:t xml:space="preserve">only an NR SL modem can be used for co-channel coexistence with LTE </w:t>
      </w:r>
      <w:r>
        <w:rPr>
          <w:b/>
        </w:rPr>
        <w:t>V2X</w:t>
      </w:r>
      <w:r w:rsidRPr="002E1B5D">
        <w:rPr>
          <w:b/>
        </w:rPr>
        <w:t>.</w:t>
      </w:r>
    </w:p>
    <w:p w14:paraId="004EF0D6" w14:textId="17F35A88" w:rsidR="00E634BB" w:rsidRPr="00AF508A" w:rsidRDefault="00E634BB" w:rsidP="002401B6">
      <w:pPr>
        <w:pStyle w:val="3GPPNormalText"/>
        <w:rPr>
          <w:b/>
        </w:rPr>
      </w:pPr>
      <w:r w:rsidRPr="00AF508A">
        <w:rPr>
          <w:b/>
        </w:rPr>
        <w:t xml:space="preserve">Proposal </w:t>
      </w:r>
      <w:r>
        <w:rPr>
          <w:b/>
        </w:rPr>
        <w:t>3</w:t>
      </w:r>
      <w:r w:rsidRPr="00AF508A">
        <w:rPr>
          <w:b/>
        </w:rPr>
        <w:t>:</w:t>
      </w:r>
      <w:r>
        <w:rPr>
          <w:b/>
        </w:rPr>
        <w:t xml:space="preserve"> For semi-static resource pool partitioning, we propose </w:t>
      </w:r>
      <w:r w:rsidR="00C05D93">
        <w:rPr>
          <w:b/>
        </w:rPr>
        <w:t>to s</w:t>
      </w:r>
      <w:r>
        <w:rPr>
          <w:b/>
        </w:rPr>
        <w:t>upport FDM-based resource pool partitioning only if the SCS for NR SL resource pools is restricted to 15</w:t>
      </w:r>
      <w:r w:rsidR="00B1659B">
        <w:rPr>
          <w:b/>
        </w:rPr>
        <w:t xml:space="preserve"> </w:t>
      </w:r>
      <w:r>
        <w:rPr>
          <w:b/>
        </w:rPr>
        <w:t>kHz, in order to overcome AGC issues.</w:t>
      </w:r>
    </w:p>
    <w:p w14:paraId="6F79EB40" w14:textId="6DE4E3E0" w:rsidR="00E634BB" w:rsidRPr="00DD0F47" w:rsidRDefault="00E634BB" w:rsidP="00E634BB">
      <w:pPr>
        <w:pStyle w:val="3GPPNormalText"/>
        <w:rPr>
          <w:b/>
        </w:rPr>
      </w:pPr>
      <w:r w:rsidRPr="00DD0F47">
        <w:rPr>
          <w:b/>
        </w:rPr>
        <w:lastRenderedPageBreak/>
        <w:t>Proposal 4: For dynamic resource pool sharing, we propose to restrict the SCS for NR SL resource pools to 15</w:t>
      </w:r>
      <w:r w:rsidR="00B1659B">
        <w:rPr>
          <w:b/>
        </w:rPr>
        <w:t xml:space="preserve"> </w:t>
      </w:r>
      <w:r w:rsidRPr="00DD0F47">
        <w:rPr>
          <w:b/>
        </w:rPr>
        <w:t>kHz.</w:t>
      </w:r>
    </w:p>
    <w:p w14:paraId="3342E838" w14:textId="77777777" w:rsidR="00E634BB" w:rsidRDefault="00E634BB" w:rsidP="00E634BB">
      <w:pPr>
        <w:pStyle w:val="3GPPNormalText"/>
        <w:rPr>
          <w:b/>
        </w:rPr>
      </w:pPr>
      <w:r w:rsidRPr="00F036CF">
        <w:rPr>
          <w:b/>
        </w:rPr>
        <w:t xml:space="preserve">Proposal </w:t>
      </w:r>
      <w:r>
        <w:rPr>
          <w:b/>
        </w:rPr>
        <w:t>5</w:t>
      </w:r>
      <w:r w:rsidRPr="00F036CF">
        <w:rPr>
          <w:b/>
        </w:rPr>
        <w:t xml:space="preserve">: For dynamic resource pool sharing in type </w:t>
      </w:r>
      <w:proofErr w:type="gramStart"/>
      <w:r w:rsidRPr="00F036CF">
        <w:rPr>
          <w:b/>
        </w:rPr>
        <w:t>A</w:t>
      </w:r>
      <w:proofErr w:type="gramEnd"/>
      <w:r w:rsidRPr="00F036CF">
        <w:rPr>
          <w:b/>
        </w:rPr>
        <w:t xml:space="preserve"> devices, we propose that the NR SL module takes into account the sensing results from the LTE V2X module to exclude resources that are being used by LTE V2X transmissions.</w:t>
      </w:r>
    </w:p>
    <w:p w14:paraId="28D378D9" w14:textId="77777777" w:rsidR="00E634BB" w:rsidRDefault="00E634BB" w:rsidP="00E634BB">
      <w:pPr>
        <w:pStyle w:val="3GPPNormalText"/>
        <w:spacing w:after="0"/>
        <w:rPr>
          <w:b/>
        </w:rPr>
      </w:pPr>
      <w:r w:rsidRPr="00AF508A">
        <w:rPr>
          <w:b/>
        </w:rPr>
        <w:t xml:space="preserve">Proposal </w:t>
      </w:r>
      <w:r>
        <w:rPr>
          <w:b/>
        </w:rPr>
        <w:t>6</w:t>
      </w:r>
      <w:r w:rsidRPr="00AF508A">
        <w:rPr>
          <w:b/>
        </w:rPr>
        <w:t>:</w:t>
      </w:r>
      <w:r>
        <w:rPr>
          <w:b/>
        </w:rPr>
        <w:t xml:space="preserve"> For dynamic resource pool sharing in type B devices, we propose to study the following:</w:t>
      </w:r>
    </w:p>
    <w:p w14:paraId="53CFE1C4" w14:textId="77777777" w:rsidR="00E634BB" w:rsidRDefault="00E634BB" w:rsidP="00D11A1B">
      <w:pPr>
        <w:pStyle w:val="3GPPNormalText"/>
        <w:numPr>
          <w:ilvl w:val="0"/>
          <w:numId w:val="12"/>
        </w:numPr>
        <w:spacing w:after="0"/>
        <w:ind w:left="360"/>
        <w:rPr>
          <w:b/>
        </w:rPr>
      </w:pPr>
      <w:r>
        <w:rPr>
          <w:b/>
        </w:rPr>
        <w:t>Perform basic LTE measurements to determine resources occupied by LTE V2X transmissions.</w:t>
      </w:r>
    </w:p>
    <w:p w14:paraId="6914FA3C" w14:textId="77777777" w:rsidR="00E634BB" w:rsidRDefault="00E634BB" w:rsidP="00D11A1B">
      <w:pPr>
        <w:pStyle w:val="3GPPNormalText"/>
        <w:numPr>
          <w:ilvl w:val="0"/>
          <w:numId w:val="12"/>
        </w:numPr>
        <w:spacing w:after="0"/>
        <w:ind w:left="360"/>
        <w:rPr>
          <w:b/>
        </w:rPr>
      </w:pPr>
      <w:r>
        <w:rPr>
          <w:b/>
        </w:rPr>
        <w:t xml:space="preserve">Use IUCs from other type </w:t>
      </w:r>
      <w:proofErr w:type="gramStart"/>
      <w:r>
        <w:rPr>
          <w:b/>
        </w:rPr>
        <w:t>A</w:t>
      </w:r>
      <w:proofErr w:type="gramEnd"/>
      <w:r>
        <w:rPr>
          <w:b/>
        </w:rPr>
        <w:t xml:space="preserve"> devices that provide non-preferred resources that include resources occupied by LTE V2X transmissions.</w:t>
      </w:r>
    </w:p>
    <w:p w14:paraId="64D0CE6C" w14:textId="77777777" w:rsidR="00E634BB" w:rsidRPr="00AF508A" w:rsidRDefault="00E634BB" w:rsidP="00D11A1B">
      <w:pPr>
        <w:pStyle w:val="3GPPNormalText"/>
        <w:numPr>
          <w:ilvl w:val="0"/>
          <w:numId w:val="12"/>
        </w:numPr>
        <w:ind w:left="360"/>
        <w:rPr>
          <w:b/>
        </w:rPr>
      </w:pPr>
      <w:r>
        <w:rPr>
          <w:b/>
        </w:rPr>
        <w:t>In the absence of LTE resource allocation information, use configuration-based solutions to decrease the probability of resource collisions between LTE V2X and NR SL transmissions.</w:t>
      </w:r>
    </w:p>
    <w:p w14:paraId="0C25324B" w14:textId="77777777" w:rsidR="00221574" w:rsidRPr="00F96DCD" w:rsidRDefault="00221574" w:rsidP="00FA4C1E">
      <w:pPr>
        <w:pStyle w:val="3GPPNormalText"/>
      </w:pPr>
    </w:p>
    <w:p w14:paraId="68F1FAA0" w14:textId="77777777" w:rsidR="00C05AC4" w:rsidRPr="00B41BCC" w:rsidRDefault="00C05AC4" w:rsidP="00C05AC4">
      <w:pPr>
        <w:pStyle w:val="Heading1"/>
        <w:tabs>
          <w:tab w:val="clear" w:pos="432"/>
        </w:tabs>
        <w:rPr>
          <w:snapToGrid w:val="0"/>
          <w:lang w:val="en-US"/>
        </w:rPr>
      </w:pPr>
      <w:r w:rsidRPr="00990ECA">
        <w:rPr>
          <w:lang w:val="en-US"/>
        </w:rPr>
        <w:t>References</w:t>
      </w:r>
    </w:p>
    <w:p w14:paraId="2628BDDE" w14:textId="63806504" w:rsidR="00C05AC4" w:rsidRDefault="00010F70" w:rsidP="00D11A1B">
      <w:pPr>
        <w:widowControl w:val="0"/>
        <w:numPr>
          <w:ilvl w:val="0"/>
          <w:numId w:val="5"/>
        </w:numPr>
        <w:overflowPunct/>
        <w:autoSpaceDE/>
        <w:adjustRightInd/>
        <w:spacing w:after="120"/>
        <w:jc w:val="both"/>
        <w:textAlignment w:val="auto"/>
        <w:rPr>
          <w:rFonts w:cs="Arial"/>
        </w:rPr>
      </w:pPr>
      <w:bookmarkStart w:id="1" w:name="_Ref494465620"/>
      <w:bookmarkStart w:id="2" w:name="_Ref527624780"/>
      <w:r>
        <w:rPr>
          <w:rFonts w:cs="Arial"/>
        </w:rPr>
        <w:t>RP-2</w:t>
      </w:r>
      <w:r w:rsidR="00627D4D">
        <w:rPr>
          <w:rFonts w:cs="Arial"/>
        </w:rPr>
        <w:t>2</w:t>
      </w:r>
      <w:r w:rsidR="005D1031">
        <w:rPr>
          <w:rFonts w:cs="Arial"/>
        </w:rPr>
        <w:t>1798</w:t>
      </w:r>
      <w:r w:rsidRPr="009A254C">
        <w:rPr>
          <w:rFonts w:cs="Arial"/>
        </w:rPr>
        <w:t xml:space="preserve">, </w:t>
      </w:r>
      <w:r>
        <w:rPr>
          <w:rFonts w:cs="Arial"/>
        </w:rPr>
        <w:t>“</w:t>
      </w:r>
      <w:r w:rsidR="00627D4D" w:rsidRPr="00627D4D">
        <w:rPr>
          <w:rFonts w:cs="Arial"/>
        </w:rPr>
        <w:t>WID revision: NR sidelink evolution</w:t>
      </w:r>
      <w:r>
        <w:rPr>
          <w:rFonts w:cs="Arial"/>
        </w:rPr>
        <w:t xml:space="preserve">”, </w:t>
      </w:r>
      <w:r w:rsidR="00627D4D">
        <w:rPr>
          <w:rFonts w:cs="Arial"/>
        </w:rPr>
        <w:t>OPPO</w:t>
      </w:r>
      <w:r>
        <w:rPr>
          <w:rFonts w:cs="Arial"/>
        </w:rPr>
        <w:t xml:space="preserve">, 3GPP </w:t>
      </w:r>
      <w:r w:rsidRPr="007833B8">
        <w:rPr>
          <w:rFonts w:cs="Arial"/>
        </w:rPr>
        <w:t>RAN#</w:t>
      </w:r>
      <w:r w:rsidR="005D1031">
        <w:rPr>
          <w:rFonts w:cs="Arial"/>
        </w:rPr>
        <w:t>9</w:t>
      </w:r>
      <w:r w:rsidR="005D1031">
        <w:rPr>
          <w:rFonts w:cs="Arial"/>
        </w:rPr>
        <w:t>6</w:t>
      </w:r>
      <w:r w:rsidRPr="007833B8">
        <w:rPr>
          <w:rFonts w:cs="Arial"/>
        </w:rPr>
        <w:t xml:space="preserve">, </w:t>
      </w:r>
      <w:r w:rsidR="005D1031">
        <w:rPr>
          <w:rFonts w:cs="Arial"/>
        </w:rPr>
        <w:t>June</w:t>
      </w:r>
      <w:r w:rsidR="005D1031" w:rsidRPr="007833B8">
        <w:rPr>
          <w:rFonts w:cs="Arial"/>
        </w:rPr>
        <w:t xml:space="preserve"> </w:t>
      </w:r>
      <w:r w:rsidRPr="007833B8">
        <w:rPr>
          <w:rFonts w:cs="Arial"/>
        </w:rPr>
        <w:t>20</w:t>
      </w:r>
      <w:r>
        <w:rPr>
          <w:rFonts w:cs="Arial"/>
        </w:rPr>
        <w:t>2</w:t>
      </w:r>
      <w:r w:rsidR="00627D4D">
        <w:rPr>
          <w:rFonts w:cs="Arial"/>
        </w:rPr>
        <w:t>2</w:t>
      </w:r>
      <w:r w:rsidRPr="007833B8">
        <w:rPr>
          <w:rFonts w:cs="Arial"/>
        </w:rPr>
        <w:t>.</w:t>
      </w:r>
    </w:p>
    <w:p w14:paraId="362B1947" w14:textId="77777777" w:rsidR="00374483" w:rsidRPr="00B539D6" w:rsidRDefault="00374483" w:rsidP="00D11A1B">
      <w:pPr>
        <w:widowControl w:val="0"/>
        <w:numPr>
          <w:ilvl w:val="0"/>
          <w:numId w:val="5"/>
        </w:numPr>
        <w:overflowPunct/>
        <w:autoSpaceDE/>
        <w:adjustRightInd/>
        <w:spacing w:after="120"/>
        <w:jc w:val="both"/>
        <w:textAlignment w:val="auto"/>
        <w:rPr>
          <w:iCs/>
          <w:lang w:val="en-US"/>
        </w:rPr>
      </w:pPr>
      <w:r>
        <w:rPr>
          <w:rFonts w:cs="Arial"/>
        </w:rPr>
        <w:t xml:space="preserve">Chairman’s Notes, 3GPP </w:t>
      </w:r>
      <w:r>
        <w:rPr>
          <w:iCs/>
          <w:lang w:val="en-US"/>
        </w:rPr>
        <w:t>RAN1#109-e, May 2022.</w:t>
      </w:r>
    </w:p>
    <w:p w14:paraId="15DF3B09" w14:textId="085244EA" w:rsidR="00374483" w:rsidRPr="001C15AC" w:rsidRDefault="00374483" w:rsidP="00D11A1B">
      <w:pPr>
        <w:widowControl w:val="0"/>
        <w:numPr>
          <w:ilvl w:val="0"/>
          <w:numId w:val="5"/>
        </w:numPr>
        <w:overflowPunct/>
        <w:autoSpaceDE/>
        <w:adjustRightInd/>
        <w:spacing w:after="120"/>
        <w:jc w:val="both"/>
        <w:textAlignment w:val="auto"/>
        <w:rPr>
          <w:iCs/>
          <w:lang w:val="en-US"/>
        </w:rPr>
      </w:pPr>
      <w:r>
        <w:rPr>
          <w:iCs/>
          <w:lang w:val="en-US"/>
        </w:rPr>
        <w:t>R1-2205588, “</w:t>
      </w:r>
      <w:r w:rsidRPr="00374483">
        <w:rPr>
          <w:iCs/>
          <w:lang w:val="en-US"/>
        </w:rPr>
        <w:t>FL Summary for AI 9.4.2 - Co-Channel Coexistence for LTE and NR Sidelink</w:t>
      </w:r>
      <w:r>
        <w:rPr>
          <w:iCs/>
          <w:lang w:val="en-US"/>
        </w:rPr>
        <w:t xml:space="preserve">”, </w:t>
      </w:r>
      <w:r w:rsidRPr="00374483">
        <w:rPr>
          <w:iCs/>
          <w:lang w:val="en-US"/>
        </w:rPr>
        <w:t>Moderator (Fraunhofer HHI)</w:t>
      </w:r>
      <w:r>
        <w:rPr>
          <w:iCs/>
          <w:lang w:val="en-US"/>
        </w:rPr>
        <w:t xml:space="preserve">, </w:t>
      </w:r>
      <w:r>
        <w:rPr>
          <w:rFonts w:cs="Arial"/>
        </w:rPr>
        <w:t xml:space="preserve">3GPP </w:t>
      </w:r>
      <w:r>
        <w:rPr>
          <w:iCs/>
          <w:lang w:val="en-US"/>
        </w:rPr>
        <w:t>RAN1#109-e, May 2022.</w:t>
      </w:r>
    </w:p>
    <w:p w14:paraId="43840290" w14:textId="28AD9E8B" w:rsidR="00374483" w:rsidRPr="00374483" w:rsidRDefault="00374483" w:rsidP="00D11A1B">
      <w:pPr>
        <w:widowControl w:val="0"/>
        <w:numPr>
          <w:ilvl w:val="0"/>
          <w:numId w:val="5"/>
        </w:numPr>
        <w:overflowPunct/>
        <w:autoSpaceDE/>
        <w:adjustRightInd/>
        <w:spacing w:after="120"/>
        <w:jc w:val="both"/>
        <w:textAlignment w:val="auto"/>
        <w:rPr>
          <w:iCs/>
          <w:lang w:val="en-US"/>
        </w:rPr>
      </w:pPr>
      <w:r>
        <w:rPr>
          <w:iCs/>
          <w:lang w:val="en-US"/>
        </w:rPr>
        <w:t>R1-2203124, “</w:t>
      </w:r>
      <w:r w:rsidRPr="00374483">
        <w:rPr>
          <w:iCs/>
          <w:lang w:val="en-US"/>
        </w:rPr>
        <w:t>On Co-channel Coexistence for LTE Sidelink and NR Sidelink</w:t>
      </w:r>
      <w:r>
        <w:rPr>
          <w:iCs/>
          <w:lang w:val="en-US"/>
        </w:rPr>
        <w:t xml:space="preserve">”, </w:t>
      </w:r>
      <w:r w:rsidRPr="00374483">
        <w:rPr>
          <w:iCs/>
          <w:lang w:val="en-US"/>
        </w:rPr>
        <w:t>Nokia, Nokia Shanghai Bell</w:t>
      </w:r>
      <w:r>
        <w:rPr>
          <w:iCs/>
          <w:lang w:val="en-US"/>
        </w:rPr>
        <w:t xml:space="preserve">, </w:t>
      </w:r>
      <w:r>
        <w:rPr>
          <w:rFonts w:cs="Arial"/>
        </w:rPr>
        <w:t xml:space="preserve">3GPP </w:t>
      </w:r>
      <w:r>
        <w:rPr>
          <w:iCs/>
          <w:lang w:val="en-US"/>
        </w:rPr>
        <w:t>RAN1#109-e, May 2022.</w:t>
      </w:r>
      <w:bookmarkEnd w:id="1"/>
      <w:bookmarkEnd w:id="2"/>
    </w:p>
    <w:p w14:paraId="14ADC238" w14:textId="27BBCB66" w:rsidR="003A4730" w:rsidRPr="00A71048" w:rsidRDefault="00A71048" w:rsidP="00D11A1B">
      <w:pPr>
        <w:widowControl w:val="0"/>
        <w:numPr>
          <w:ilvl w:val="0"/>
          <w:numId w:val="5"/>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5D1031" w:rsidRPr="00E15360">
        <w:rPr>
          <w:iCs/>
          <w:lang w:val="en-US"/>
        </w:rPr>
        <w:t>v1</w:t>
      </w:r>
      <w:r w:rsidR="005D1031">
        <w:rPr>
          <w:iCs/>
          <w:lang w:val="en-US"/>
        </w:rPr>
        <w:t>7</w:t>
      </w:r>
      <w:r w:rsidR="005D1031" w:rsidRPr="00E15360">
        <w:rPr>
          <w:iCs/>
          <w:lang w:val="en-US"/>
        </w:rPr>
        <w:t>.</w:t>
      </w:r>
      <w:r w:rsidR="005D1031">
        <w:rPr>
          <w:iCs/>
          <w:lang w:val="en-US"/>
        </w:rPr>
        <w:t>2</w:t>
      </w:r>
      <w:r w:rsidR="005D1031" w:rsidRPr="00E15360">
        <w:rPr>
          <w:iCs/>
          <w:lang w:val="en-US"/>
        </w:rPr>
        <w:t>.0</w:t>
      </w:r>
      <w:r w:rsidRPr="00E15360">
        <w:rPr>
          <w:iCs/>
          <w:lang w:val="en-US"/>
        </w:rPr>
        <w:t>, “</w:t>
      </w:r>
      <w:r w:rsidRPr="002572B7">
        <w:rPr>
          <w:iCs/>
          <w:lang w:val="en-US"/>
        </w:rPr>
        <w:t xml:space="preserve">Physical layer procedures for </w:t>
      </w:r>
      <w:r>
        <w:rPr>
          <w:iCs/>
          <w:lang w:val="en-US"/>
        </w:rPr>
        <w:t xml:space="preserve">data </w:t>
      </w:r>
      <w:r w:rsidRPr="002572B7">
        <w:rPr>
          <w:iCs/>
          <w:lang w:val="en-US"/>
        </w:rPr>
        <w:t xml:space="preserve">(Release </w:t>
      </w:r>
      <w:r w:rsidR="005D1031" w:rsidRPr="002572B7">
        <w:rPr>
          <w:iCs/>
          <w:lang w:val="en-US"/>
        </w:rPr>
        <w:t>1</w:t>
      </w:r>
      <w:r w:rsidR="005D1031">
        <w:rPr>
          <w:iCs/>
          <w:lang w:val="en-US"/>
        </w:rPr>
        <w:t>7</w:t>
      </w:r>
      <w:r w:rsidRPr="002572B7">
        <w:rPr>
          <w:iCs/>
          <w:lang w:val="en-US"/>
        </w:rPr>
        <w:t xml:space="preserve">)”, </w:t>
      </w:r>
      <w:r w:rsidR="005D1031">
        <w:rPr>
          <w:iCs/>
          <w:lang w:val="en-US"/>
        </w:rPr>
        <w:t>June</w:t>
      </w:r>
      <w:r w:rsidR="005D1031" w:rsidRPr="002572B7">
        <w:rPr>
          <w:iCs/>
          <w:lang w:val="en-US"/>
        </w:rPr>
        <w:t xml:space="preserve"> 202</w:t>
      </w:r>
      <w:r w:rsidR="005D1031">
        <w:rPr>
          <w:iCs/>
          <w:lang w:val="en-US"/>
        </w:rPr>
        <w:t>2</w:t>
      </w:r>
      <w:r w:rsidRPr="00E15360">
        <w:rPr>
          <w:iCs/>
          <w:lang w:val="en-US"/>
        </w:rPr>
        <w:t>.</w:t>
      </w:r>
    </w:p>
    <w:sectPr w:rsidR="003A4730" w:rsidRPr="00A71048" w:rsidSect="00D3463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29F9" w16cex:dateUtc="2022-08-11T05:10:00Z"/>
  <w16cex:commentExtensible w16cex:durableId="269FA5BF" w16cex:dateUtc="2022-08-11T13:58:00Z"/>
  <w16cex:commentExtensible w16cex:durableId="269FA5A4" w16cex:dateUtc="2022-08-11T13:58:00Z"/>
  <w16cex:commentExtensible w16cex:durableId="269FAD9A" w16cex:dateUtc="2022-08-11T14:32:00Z"/>
  <w16cex:commentExtensible w16cex:durableId="269FA675" w16cex:dateUtc="2022-08-11T14: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1F2D1B" w16cid:durableId="269F29F9"/>
  <w16cid:commentId w16cid:paraId="76B4497F" w16cid:durableId="269FA2EC"/>
  <w16cid:commentId w16cid:paraId="70F04B33" w16cid:durableId="269FA5BF"/>
  <w16cid:commentId w16cid:paraId="5012B3C3" w16cid:durableId="269FA5A4"/>
  <w16cid:commentId w16cid:paraId="4FB4D2FC" w16cid:durableId="269FAD9A"/>
  <w16cid:commentId w16cid:paraId="23992942" w16cid:durableId="269FA6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0DEF6" w14:textId="77777777" w:rsidR="00CF4FF3" w:rsidRDefault="00CF4FF3">
      <w:r>
        <w:separator/>
      </w:r>
    </w:p>
  </w:endnote>
  <w:endnote w:type="continuationSeparator" w:id="0">
    <w:p w14:paraId="31F110A4" w14:textId="77777777" w:rsidR="00CF4FF3" w:rsidRDefault="00CF4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531294E4"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401B6">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401B6">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E609E" w14:textId="77777777" w:rsidR="00CF4FF3" w:rsidRDefault="00CF4FF3">
      <w:r>
        <w:separator/>
      </w:r>
    </w:p>
  </w:footnote>
  <w:footnote w:type="continuationSeparator" w:id="0">
    <w:p w14:paraId="05DF5371" w14:textId="77777777" w:rsidR="00CF4FF3" w:rsidRDefault="00CF4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9F021B"/>
    <w:multiLevelType w:val="hybridMultilevel"/>
    <w:tmpl w:val="FACC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9"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2004D4F"/>
    <w:multiLevelType w:val="hybridMultilevel"/>
    <w:tmpl w:val="0A8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A66839"/>
    <w:multiLevelType w:val="hybridMultilevel"/>
    <w:tmpl w:val="26141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5"/>
  </w:num>
  <w:num w:numId="2">
    <w:abstractNumId w:val="1"/>
  </w:num>
  <w:num w:numId="3">
    <w:abstractNumId w:val="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2"/>
  </w:num>
  <w:num w:numId="7">
    <w:abstractNumId w:val="6"/>
  </w:num>
  <w:num w:numId="8">
    <w:abstractNumId w:val="3"/>
  </w:num>
  <w:num w:numId="9">
    <w:abstractNumId w:val="9"/>
  </w:num>
  <w:num w:numId="10">
    <w:abstractNumId w:val="2"/>
  </w:num>
  <w:num w:numId="11">
    <w:abstractNumId w:val="10"/>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A39"/>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47FC7"/>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D92"/>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491"/>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14A"/>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3A"/>
    <w:rsid w:val="00213598"/>
    <w:rsid w:val="00213851"/>
    <w:rsid w:val="00213AF9"/>
    <w:rsid w:val="00213E9D"/>
    <w:rsid w:val="002146F8"/>
    <w:rsid w:val="00214ADE"/>
    <w:rsid w:val="00214C0C"/>
    <w:rsid w:val="00214E0D"/>
    <w:rsid w:val="00215175"/>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1B6"/>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2AB"/>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87A"/>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8A"/>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5D"/>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A3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8E"/>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83"/>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CA9"/>
    <w:rsid w:val="003921B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6BF"/>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654"/>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4FD7"/>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A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710"/>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031"/>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F2E"/>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2D11"/>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37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836"/>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9CB"/>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862"/>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6EC"/>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210"/>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A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48"/>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9D8"/>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59B"/>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5D93"/>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608"/>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074"/>
    <w:rsid w:val="00C83AEB"/>
    <w:rsid w:val="00C83B30"/>
    <w:rsid w:val="00C83C7A"/>
    <w:rsid w:val="00C84180"/>
    <w:rsid w:val="00C84317"/>
    <w:rsid w:val="00C843AB"/>
    <w:rsid w:val="00C845CE"/>
    <w:rsid w:val="00C84DDC"/>
    <w:rsid w:val="00C8534D"/>
    <w:rsid w:val="00C85A05"/>
    <w:rsid w:val="00C85E2E"/>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1F63"/>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4FF3"/>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1B"/>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0F47"/>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4BB"/>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4C5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ED5"/>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D7C"/>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CF"/>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5ED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7"/>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EC594C-159E-4646-BED5-3CE90E444D81}">
  <ds:schemaRefs>
    <ds:schemaRef ds:uri="http://schemas.openxmlformats.org/officeDocument/2006/bibliography"/>
  </ds:schemaRefs>
</ds:datastoreItem>
</file>

<file path=customXml/itemProps6.xml><?xml version="1.0" encoding="utf-8"?>
<ds:datastoreItem xmlns:ds="http://schemas.openxmlformats.org/officeDocument/2006/customXml" ds:itemID="{29749CB4-8EA3-467F-80C1-D648292B8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2350</Words>
  <Characters>13396</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15715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3</cp:revision>
  <cp:lastPrinted>2022-01-05T12:49:00Z</cp:lastPrinted>
  <dcterms:created xsi:type="dcterms:W3CDTF">2022-08-12T12:06:00Z</dcterms:created>
  <dcterms:modified xsi:type="dcterms:W3CDTF">2022-08-12T12:06:00Z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