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3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>
        <w:rPr>
          <w:b/>
          <w:sz w:val="24"/>
          <w:szCs w:val="22"/>
          <w:lang w:val="de-DE" w:eastAsia="zh-CN"/>
        </w:rPr>
        <w:t xml:space="preserve">10 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>
        <w:rPr>
          <w:b/>
          <w:sz w:val="24"/>
          <w:szCs w:val="22"/>
          <w:lang w:val="de-DE" w:eastAsia="ja-JP"/>
        </w:rPr>
        <w:t>R1-220xxxx</w:t>
      </w:r>
    </w:p>
    <w:bookmarkEnd w:id="0"/>
    <w:p>
      <w:pPr>
        <w:tabs>
          <w:tab w:val="left" w:pos="1985"/>
        </w:tabs>
        <w:spacing w:before="120"/>
        <w:rPr>
          <w:rFonts w:ascii="Arial" w:hAnsi="Arial" w:eastAsia="MS Mincho"/>
          <w:b/>
        </w:rPr>
      </w:pPr>
      <w:r>
        <w:rPr>
          <w:rFonts w:ascii="Arial" w:hAnsi="Arial" w:eastAsia="MS Mincho"/>
          <w:b/>
        </w:rPr>
        <w:t>Toulouse, France, August 22nd – 26th, 2022</w:t>
      </w:r>
    </w:p>
    <w:p>
      <w:pPr>
        <w:tabs>
          <w:tab w:val="left" w:pos="1985"/>
        </w:tabs>
        <w:spacing w:before="120"/>
        <w:rPr>
          <w:rFonts w:ascii="Arial" w:hAnsi="Arial" w:eastAsia="MS Mincho"/>
          <w:b/>
        </w:rPr>
      </w:pPr>
    </w:p>
    <w:p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                Moderator (Intel Corporation)</w:t>
      </w:r>
    </w:p>
    <w:p>
      <w:pPr>
        <w:spacing w:before="120"/>
        <w:ind w:left="1811" w:hanging="1811" w:hangingChars="823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hint="eastAsia" w:ascii="Arial" w:hAnsi="Arial" w:eastAsia="Malgun Gothic" w:cs="Arial"/>
          <w:b/>
        </w:rPr>
        <w:tab/>
      </w:r>
      <w:r>
        <w:rPr>
          <w:rFonts w:ascii="Arial" w:hAnsi="Arial" w:eastAsia="Malgun Gothic" w:cs="Arial"/>
          <w:b/>
        </w:rPr>
        <w:t xml:space="preserve">Summary#1 of AI: 9.9.1 NR PDCCH reception in symbols with LTE CRS REs </w:t>
      </w:r>
    </w:p>
    <w:p>
      <w:pPr>
        <w:spacing w:before="120"/>
        <w:ind w:left="1811" w:hanging="1811" w:hangingChars="8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hint="eastAsia" w:ascii="Arial" w:hAnsi="Arial" w:cs="Arial"/>
          <w:b/>
        </w:rPr>
        <w:tab/>
      </w:r>
      <w:r>
        <w:rPr>
          <w:rFonts w:ascii="Arial" w:hAnsi="Arial" w:cs="Arial"/>
          <w:b/>
        </w:rPr>
        <w:t>9.9.1</w:t>
      </w:r>
    </w:p>
    <w:p>
      <w:pPr>
        <w:spacing w:before="120"/>
        <w:ind w:left="1811" w:hanging="1811" w:hangingChars="8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Discussion and Decision</w:t>
      </w:r>
    </w:p>
    <w:p>
      <w:pPr>
        <w:pStyle w:val="2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>
      <w:pPr>
        <w:spacing w:before="120"/>
        <w:ind w:firstLine="284"/>
      </w:pPr>
      <w:r>
        <w:t>In RAN#94-e meeting a work item on eDSS support was agreed for Rel-18 [1]. The objectives of the WID include enhancements to NR PDCCH reception as shown below:</w:t>
      </w:r>
    </w:p>
    <w:tbl>
      <w:tblPr>
        <w:tblStyle w:val="49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80" w:lineRule="atLeast"/>
            </w:pPr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>
            <w:pPr>
              <w:spacing w:before="120" w:line="280" w:lineRule="atLeast"/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Study and if needed specify NR PDCCH reception in symbols with LTE CRS REs. [RAN1]</w:t>
            </w:r>
          </w:p>
          <w:p>
            <w:pPr>
              <w:spacing w:before="120" w:line="280" w:lineRule="atLeast"/>
              <w:ind w:left="576"/>
            </w:pPr>
          </w:p>
        </w:tc>
      </w:tr>
    </w:tbl>
    <w:p>
      <w:pPr>
        <w:spacing w:before="120"/>
        <w:ind w:firstLine="288"/>
      </w:pPr>
      <w:r>
        <w:t xml:space="preserve">This document contains summary of the companies’ and moderator’s proposals. </w:t>
      </w:r>
    </w:p>
    <w:p>
      <w:pPr>
        <w:pStyle w:val="2"/>
        <w:numPr>
          <w:ilvl w:val="0"/>
          <w:numId w:val="9"/>
        </w:numPr>
        <w:pBdr>
          <w:top w:val="single" w:color="auto" w:sz="12" w:space="4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>
      <w:pPr>
        <w:spacing w:before="120"/>
        <w:ind w:firstLine="288"/>
      </w:pPr>
    </w:p>
    <w:p>
      <w:pPr>
        <w:spacing w:before="120"/>
        <w:ind w:firstLine="288"/>
      </w:pPr>
      <w:r>
        <w:t>The following are observations from the FL based on tdoc review. This section is not meant for agreement.</w:t>
      </w:r>
    </w:p>
    <w:p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PDCCH capacity:</w:t>
      </w:r>
    </w:p>
    <w:p>
      <w:pPr>
        <w:spacing w:before="120"/>
      </w:pPr>
      <w:r>
        <w:t>Multiple companies submitted results although different assumptions on Tx (puncturing/superposition), receivers, UE distributions, capacity calculation methodology etc. is expected to cause variation of results across companies. The numbers in the following table represent PDCCH capacity gain % with respect to baseline (no enhancement). The variation of gain numbers from within a company depends on factors such as receiver channel estimation algorithm used, UE speed, fraction of legacy vs Rel-18 UEs in the system, CORESET configuration etc.</w:t>
      </w:r>
    </w:p>
    <w:p>
      <w:pPr>
        <w:spacing w:before="120"/>
      </w:pP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2050"/>
        <w:gridCol w:w="151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E2EFD9" w:themeFill="accent6" w:themeFillTint="33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>
            <w:pPr>
              <w:spacing w:before="120" w:line="28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Scenario 1A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24, 61 (Huawei)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69, 33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49, 51, 71, 73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38, 65, 70, 76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47,67,77 (Ericsson)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25, 60 (Spreadtrum)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Scenario 1A-2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13,32 (Huawei)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Scenario 2</w:t>
            </w: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 (Huawei)</w:t>
            </w:r>
          </w:p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27, 54 (ZTE)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-32,7, 33, 56, 59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-16, 3, 16, 28, 29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38, 40, 44, 48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70, 82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19,33 (Ericsson)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-6, 28, 36 (Spreadtrum)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66, 33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49, 51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140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25 (Ericsson)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46 (Spreadtrum)</w:t>
            </w: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 48 (Huawei)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29,59 (ZTE)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30,31,53,53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54,77,91,97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19, 38 (Ericsson)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Scenario 3</w:t>
            </w: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 (Huawei)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-47, 7, 17, 21, 29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-23, -3, 8, 10, 14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20, 20, 23, 24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32, 34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14, 19 (Ericsson)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28,14 (Vivo)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24,28 (Mediatek)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36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17 (Ericsson)</w:t>
            </w:r>
          </w:p>
        </w:tc>
        <w:tc>
          <w:tcPr>
            <w:tcW w:w="0" w:type="auto"/>
            <w:vAlign w:val="center"/>
          </w:tcPr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-9, 12 (Huawei)</w:t>
            </w:r>
          </w:p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12, 14, 26, 27 (Mediatek)</w:t>
            </w:r>
          </w:p>
          <w:p>
            <w:pPr>
              <w:spacing w:before="120" w:line="280" w:lineRule="atLeast"/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12, 30, 33, 34 (Qualcomm)</w:t>
            </w:r>
          </w:p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color w:val="000000" w:themeColor="text1"/>
                <w:kern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11, 21 (Ericsson)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LTE BW&lt;NR BW (Huawei)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 (Huawei)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modified Scenario 3 (2+1 symbol Rel-18 CORESET) (Ericsson)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14,24 (Ericsson)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19 (Ericsson)</w:t>
            </w:r>
          </w:p>
        </w:tc>
        <w:tc>
          <w:tcPr>
            <w:tcW w:w="0" w:type="auto"/>
          </w:tcPr>
          <w:p>
            <w:pPr>
              <w:spacing w:before="120" w:line="280" w:lineRule="atLeast"/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15,24,29,34,39 (Ericsson)</w:t>
            </w:r>
          </w:p>
        </w:tc>
      </w:tr>
    </w:tbl>
    <w:p>
      <w:pPr>
        <w:spacing w:before="120"/>
      </w:pPr>
    </w:p>
    <w:p>
      <w:pPr>
        <w:spacing w:before="120"/>
      </w:pPr>
      <w:r>
        <w:t>One or more companies have raised the following observations or comments:</w:t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Outage performance </w:t>
      </w:r>
    </w:p>
    <w:p>
      <w:pPr>
        <w:pStyle w:val="114"/>
        <w:numPr>
          <w:ilvl w:val="0"/>
          <w:numId w:val="10"/>
        </w:numPr>
      </w:pPr>
      <w:r>
        <w:t xml:space="preserve">worse outage performance than baseline observed for options 1-1, and 2 (gNB puncturing or superposition) </w:t>
      </w:r>
    </w:p>
    <w:p>
      <w:pPr>
        <w:spacing w:before="120"/>
      </w:pPr>
    </w:p>
    <w:p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LTE impact</w:t>
      </w:r>
      <w:r>
        <w:rPr>
          <w:iCs/>
          <w:lang w:bidi="hi-IN"/>
        </w:rPr>
        <w:t>: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>
        <w:rPr>
          <w:rFonts w:hint="eastAsia"/>
          <w:szCs w:val="20"/>
        </w:rPr>
        <w:t>ecrease for LTE PDCCH capacity</w:t>
      </w:r>
      <w:r>
        <w:rPr>
          <w:szCs w:val="20"/>
        </w:rPr>
        <w:t xml:space="preserve"> for scenario 1A, 2</w:t>
      </w:r>
    </w:p>
    <w:p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Coexistence with legacy NR UEs</w:t>
      </w:r>
      <w:r>
        <w:rPr>
          <w:iCs/>
          <w:lang w:bidi="hi-IN"/>
        </w:rPr>
        <w:t>: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capacity gain of option 1-1 in Scenario 2 would reduce significantly from the case of 100% NR Rel-18 UE distribution to 50% NR Rel-18 UE distribution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TDM/FDM of CORESET with legacy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2 symbol CORESET requirement for 1-1 and 1-2 is problematic due to CORESET#0</w:t>
      </w:r>
    </w:p>
    <w:p>
      <w:pPr>
        <w:spacing w:before="120"/>
        <w:rPr>
          <w:iCs/>
          <w:lang w:bidi="hi-IN"/>
        </w:rPr>
      </w:pPr>
      <w:r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new rate-matching for Option 1-2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 is out of WI scope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 complexity beyond clean symbol DMRS estimation, multiple UE implementation options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significant impact to channel estimation for option 1-1 and option 2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fragmentation of UE capabilities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lang w:eastAsia="ja-JP"/>
        </w:rPr>
        <w:t>1-symbol CORESET with puncturing/superposition demands advanced receiver/channel estimator</w:t>
      </w:r>
    </w:p>
    <w:p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Specification work:</w:t>
      </w:r>
    </w:p>
    <w:p>
      <w:pPr>
        <w:pStyle w:val="114"/>
        <w:numPr>
          <w:ilvl w:val="0"/>
          <w:numId w:val="10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>RAN1 - remove the restriction in TS 38.213, additional PDCCH mapping rule, applicable search space set, how to indicate the LTE CRS pattern(s) for PDCCH</w:t>
      </w:r>
    </w:p>
    <w:p>
      <w:pPr>
        <w:pStyle w:val="114"/>
        <w:numPr>
          <w:ilvl w:val="0"/>
          <w:numId w:val="10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RAN4  - performance requirements and test-cases potentially for different receiver options </w:t>
      </w:r>
    </w:p>
    <w:p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Not critical enhancement - already available tools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FG 3-2, FG 3-5, or FG 22-12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Rel-17 SCell PDCCH scheduling PCell PDSCH/PUSCH</w:t>
      </w:r>
    </w:p>
    <w:p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>Other detailed proposals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Assistance information to UE (indication to puncture for example in Option -2)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>Restriction (specified or configured) on applicability to search spaces, RRC connected UEs, 2-3 symbol CORESETs</w:t>
      </w:r>
    </w:p>
    <w:p>
      <w:pPr>
        <w:pStyle w:val="114"/>
        <w:numPr>
          <w:ilvl w:val="0"/>
          <w:numId w:val="10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for PDCCH </w:t>
      </w:r>
    </w:p>
    <w:p>
      <w:pPr>
        <w:pStyle w:val="114"/>
        <w:spacing w:before="120"/>
        <w:ind w:left="735"/>
        <w:rPr>
          <w:iCs/>
          <w:lang w:bidi="hi-IN"/>
        </w:rPr>
      </w:pPr>
    </w:p>
    <w:p>
      <w:pPr>
        <w:pStyle w:val="2"/>
        <w:numPr>
          <w:ilvl w:val="0"/>
          <w:numId w:val="9"/>
        </w:numPr>
        <w:pBdr>
          <w:top w:val="single" w:color="auto" w:sz="12" w:space="4"/>
        </w:pBdr>
        <w:rPr>
          <w:rFonts w:cs="Arial"/>
          <w:lang w:val="en-US"/>
        </w:rPr>
      </w:pPr>
      <w:r>
        <w:rPr>
          <w:rFonts w:cs="Arial"/>
          <w:lang w:val="en-US"/>
        </w:rPr>
        <w:t>Proposals</w:t>
      </w:r>
    </w:p>
    <w:p/>
    <w:p>
      <w:pPr>
        <w:pStyle w:val="3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>
      <w:r>
        <w:rPr>
          <w:color w:val="000000"/>
        </w:rPr>
        <w:t>The intention here is to check if we can select one of following options in principle that we can then use to work on TPs or detailed proposals-</w:t>
      </w:r>
    </w:p>
    <w:p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>
      <w:pPr>
        <w:rPr>
          <w:color w:val="000000"/>
        </w:rPr>
      </w:pPr>
      <w:r>
        <w:rPr>
          <w:color w:val="000000"/>
        </w:rPr>
        <w:t>Select one of the following PDCCH enhancements (in principle):</w:t>
      </w:r>
    </w:p>
    <w:p>
      <w:pPr>
        <w:rPr>
          <w:rFonts w:cstheme="minorHAnsi"/>
          <w:color w:val="000000"/>
        </w:rPr>
      </w:pPr>
      <w:r>
        <w:rPr>
          <w:rFonts w:ascii="Times New Roman" w:hAnsi="Times New Roman"/>
          <w:b/>
          <w:bCs/>
          <w:color w:val="000000"/>
        </w:rPr>
        <w:t>Option 1-1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cstheme="minorHAnsi"/>
          <w:color w:val="000000"/>
        </w:rPr>
        <w:t>No NR-PDCCH-DMRS is transmitted for only the REs overlapping with LTE-CRS of the OFDM symbol, NR-PDCCH is punctured on REs colliding with LTE-CRS, NR-PDCCH must span at least 2 consecutive symbols with at least 1 symbol not overlapping with LTE-CRS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PDCCH and PDCCH DMRS mapping to REs: Legacy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PDCCH REs overlapping with LTE CRS: Receiver punctures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 xml:space="preserve">PDCCH DMRS REs overlapping with LTE CRS: </w:t>
      </w:r>
      <w:r>
        <w:rPr>
          <w:rFonts w:eastAsia="Malgun Gothic" w:asciiTheme="minorHAnsi" w:hAnsiTheme="minorHAnsi" w:cstheme="minorHAnsi"/>
          <w:color w:val="000000"/>
        </w:rPr>
        <w:t xml:space="preserve">All DMRS REs on overlapping symbol Not used for CE, </w:t>
      </w:r>
      <w:r>
        <w:rPr>
          <w:rFonts w:eastAsia="等线" w:asciiTheme="minorHAnsi" w:hAnsiTheme="minorHAnsi" w:cstheme="minorHAnsi"/>
          <w:color w:val="000000"/>
        </w:rPr>
        <w:t>or legacy pattern is assumed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 xml:space="preserve">gNB transmits: Irrelevant what the gNB transmits on REs overlapping with the LTE CRS REs as indicated in the CRS RM pattern. 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Channel estimator: operate on clean symbol DMRS only, Legacy</w:t>
      </w:r>
    </w:p>
    <w:p>
      <w:pPr>
        <w:pStyle w:val="114"/>
        <w:ind w:left="420"/>
        <w:contextualSpacing/>
        <w:rPr>
          <w:rFonts w:ascii="Times New Roman" w:hAnsi="Times New Roman" w:eastAsia="等线"/>
          <w:color w:val="000000"/>
        </w:rPr>
      </w:pPr>
    </w:p>
    <w:p>
      <w:pPr>
        <w:pStyle w:val="114"/>
        <w:ind w:left="0"/>
        <w:contextualSpacing/>
        <w:rPr>
          <w:rFonts w:eastAsia="等线" w:asciiTheme="minorHAnsi" w:hAnsiTheme="minorHAnsi" w:cstheme="minorHAnsi"/>
        </w:rPr>
      </w:pPr>
      <w:r>
        <w:rPr>
          <w:rFonts w:ascii="Times New Roman" w:hAnsi="Times New Roman" w:eastAsia="等线"/>
          <w:b/>
          <w:bCs/>
        </w:rPr>
        <w:t>Option 1-2</w:t>
      </w:r>
      <w:r>
        <w:rPr>
          <w:rFonts w:ascii="Times New Roman" w:hAnsi="Times New Roman" w:eastAsia="等线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</w:t>
      </w:r>
    </w:p>
    <w:p>
      <w:pPr>
        <w:pStyle w:val="114"/>
        <w:numPr>
          <w:ilvl w:val="0"/>
          <w:numId w:val="11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PDCCH and PDCCH DMRS mapping to REs: New PDCCH rate-matching</w:t>
      </w:r>
    </w:p>
    <w:p>
      <w:pPr>
        <w:pStyle w:val="114"/>
        <w:numPr>
          <w:ilvl w:val="1"/>
          <w:numId w:val="12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 xml:space="preserve">No PDCCH DMRS on the symbol overlapping with LTE CRS 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PDCCH REs overlapping with LTE CRS: Receiver punctures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PDCCH DMRS REs overlapping with LTE CRS: Not expected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Channel estimator (UE assumption): Operate on clean symbol DMRS only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  <w:color w:val="000000"/>
        </w:rPr>
      </w:pPr>
      <w:r>
        <w:rPr>
          <w:rFonts w:eastAsia="等线" w:asciiTheme="minorHAnsi" w:hAnsiTheme="minorHAnsi" w:cstheme="minorHAnsi"/>
          <w:color w:val="000000"/>
        </w:rPr>
        <w:t>gNB transmits: Irrelevant what the gNB transmits on REs overlapping with the LTE CRS REs as indicated in the CRS RM pattern</w:t>
      </w:r>
    </w:p>
    <w:p>
      <w:pPr>
        <w:rPr>
          <w:rFonts w:ascii="Times New Roman" w:hAnsi="Times New Roman"/>
        </w:rPr>
      </w:pPr>
    </w:p>
    <w:p>
      <w:pPr>
        <w:pStyle w:val="114"/>
        <w:ind w:left="0"/>
        <w:contextualSpacing/>
        <w:rPr>
          <w:rFonts w:eastAsia="等线" w:asciiTheme="minorHAnsi" w:hAnsiTheme="minorHAnsi" w:cstheme="minorHAnsi"/>
          <w:b/>
          <w:bCs/>
        </w:rPr>
      </w:pPr>
      <w:r>
        <w:rPr>
          <w:rFonts w:ascii="Times New Roman" w:hAnsi="Times New Roman" w:eastAsia="等线"/>
          <w:b/>
          <w:bCs/>
        </w:rPr>
        <w:t xml:space="preserve">Option 2: </w:t>
      </w:r>
      <w:r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PDCCH and PDCCH DMRS mapping to REs: Legacy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PDCCH REs overlapping with LTE CRS: Baseline: Process as legacy 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PDCCH DMRS REs overlapping with LTE CRS: Aware or unaware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Channel estimator: Baseline: Process as legacy (Receiver does not puncture DMRS), Optional: Advanced receiver (Use the DMRS other than legacy behavior)</w:t>
      </w:r>
    </w:p>
    <w:p>
      <w:pPr>
        <w:pStyle w:val="114"/>
        <w:numPr>
          <w:ilvl w:val="0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gNB transmits: </w:t>
      </w:r>
    </w:p>
    <w:p>
      <w:pPr>
        <w:pStyle w:val="114"/>
        <w:numPr>
          <w:ilvl w:val="1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Baseline: May puncture the PDCCH/PDCCH DMRS, or may superposition the two. </w:t>
      </w:r>
    </w:p>
    <w:p>
      <w:pPr>
        <w:pStyle w:val="114"/>
        <w:numPr>
          <w:ilvl w:val="1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Optional: may puncture LTE CRS of Port#2&amp;3. </w:t>
      </w:r>
    </w:p>
    <w:p>
      <w:pPr>
        <w:pStyle w:val="114"/>
        <w:numPr>
          <w:ilvl w:val="1"/>
          <w:numId w:val="12"/>
        </w:numPr>
        <w:contextualSpacing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Impact to LTE UEs should be considered if superposition is used.</w:t>
      </w:r>
    </w:p>
    <w:p/>
    <w:p/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shd w:val="clear" w:color="auto" w:fill="C5E0B3" w:themeFill="accent6" w:themeFillTint="66"/>
          </w:tcPr>
          <w:p>
            <w:pPr>
              <w:spacing w:before="120" w:line="280" w:lineRule="atLeast"/>
            </w:pPr>
            <w:r>
              <w:t>Company</w:t>
            </w:r>
          </w:p>
        </w:tc>
        <w:tc>
          <w:tcPr>
            <w:tcW w:w="8275" w:type="dxa"/>
            <w:shd w:val="clear" w:color="auto" w:fill="C5E0B3" w:themeFill="accent6" w:themeFillTint="66"/>
          </w:tcPr>
          <w:p>
            <w:pPr>
              <w:spacing w:before="120" w:line="280" w:lineRule="atLeast"/>
            </w:pPr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Huawei/Hisi</w:t>
            </w:r>
          </w:p>
        </w:tc>
        <w:tc>
          <w:tcPr>
            <w:tcW w:w="8275" w:type="dxa"/>
          </w:tcPr>
          <w:p>
            <w:p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summarized by moderator, a number of concerns are received over all the 3 options. From our observations:</w:t>
            </w:r>
          </w:p>
          <w:p>
            <w:pPr>
              <w:pStyle w:val="114"/>
              <w:numPr>
                <w:ilvl w:val="0"/>
                <w:numId w:val="13"/>
              </w:num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2 with punctured transmission has no appealing capacity gain (-9.3%/2.8%/24.1% for scenario#1A/2/3, respectively), and has deteriorated outage (as high as 26.8% under scenario#1A). Note that though for some scenarios, there are capacity gain, but as Option 2 cannot serve the cell edge UEs, its capacity gain attributes to a large extent to the scheduling gain of cell centre UEs with small AL values.</w:t>
            </w:r>
            <w:r>
              <w:rPr>
                <w:rFonts w:ascii="Times New Roman" w:hAnsi="Times New Roman" w:cs="Times New Roman"/>
              </w:rPr>
              <w:t xml:space="preserve"> So the capacity gains are somewhat overestimated. </w:t>
            </w:r>
          </w:p>
          <w:p>
            <w:pPr>
              <w:pStyle w:val="114"/>
              <w:numPr>
                <w:ilvl w:val="0"/>
                <w:numId w:val="13"/>
              </w:num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2 with superposition with LTE CRS (i.e., Option 2B) will cause degraded performance of LTE, which is unfriendly to the incumbent system.</w:t>
            </w:r>
          </w:p>
          <w:p>
            <w:pPr>
              <w:pStyle w:val="114"/>
              <w:numPr>
                <w:ilvl w:val="0"/>
                <w:numId w:val="13"/>
              </w:num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addition, as mentioned by some other companies and observed from simulation results over companies, the performance of Option 2 quite depends on the UE receiver which differ a lot over UEs, so that will cause nontrivial work load to RAN4.</w:t>
            </w:r>
          </w:p>
          <w:p>
            <w:pPr>
              <w:pStyle w:val="114"/>
              <w:numPr>
                <w:ilvl w:val="0"/>
                <w:numId w:val="13"/>
              </w:num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1-2 will introduce challenging UE implementation complexity on supporting new PDCCH RM/CE/demodulation patterns. Our understanding that, the scope of the Objective 1 for this SI is built on the assumption that UE has no capability of new PDCCH RM patterns; otherwise why not allow UE to perform PDCCH RM around the LTE CRS (which is out of scope) rather than being punctured?</w:t>
            </w:r>
          </w:p>
          <w:p>
            <w:pPr>
              <w:pStyle w:val="114"/>
              <w:numPr>
                <w:ilvl w:val="0"/>
                <w:numId w:val="13"/>
              </w:num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1-1 seems the simple solution with promising gains, but this gain is achieved still under quite limited case of Scenario 2 with LTE bandwidth = NR bandwidth and without co-existence with legacy NR UEs</w:t>
            </w:r>
            <w:r>
              <w:rPr>
                <w:rFonts w:hint="eastAsia" w:ascii="Times New Roman" w:hAnsi="Times New Roman" w:cs="Times New Roman" w:eastAsiaTheme="minorEastAsia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That means, even Option 1-1 is scenario restricted and cannot provide universal gain.</w:t>
            </w:r>
          </w:p>
          <w:p>
            <w:p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ased on the analysis above, at the moment we do not observe a strong necessity to introduce any of the options in R18.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spacing w:before="120" w:line="28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Samsung</w:t>
            </w:r>
          </w:p>
        </w:tc>
        <w:tc>
          <w:tcPr>
            <w:tcW w:w="8275" w:type="dxa"/>
          </w:tcPr>
          <w:p>
            <w:pPr>
              <w:spacing w:before="120" w:line="28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We are OK to discuss the three options but we do not agree to select one of them. </w:t>
            </w:r>
          </w:p>
          <w:p>
            <w:pPr>
              <w:spacing w:before="120" w:line="28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Based on various analytical considerations and on results, we think that not introducing specification support for PDCCH receptions in presence of LTE CRS is a valid conclusion.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ZTE</w:t>
            </w:r>
          </w:p>
        </w:tc>
        <w:tc>
          <w:tcPr>
            <w:tcW w:w="8275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We observe clear performance gain by the options and ok to down-select one of them. Our detailed views on each options are provided below. </w:t>
            </w: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Option 1-1 provides good performance gain with legacy UE receiver. One main drawback is coexistence with legacy NR UEs when a 2-symbol CORESET is configured for Rel-18 NR PDCCH as follows. In the example, half of the PDCCH resources in symbol 1 is unavailable. </w:t>
            </w: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4051300" cy="13658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Option 2 provides the best performance with advanced UE receiver, including both PDCCH capacity and coexistence with legacy NR UEs, while Option 2 increases UE complexity. </w:t>
            </w: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Considering both the performance gain and complexity, we are ok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with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either Option 1-1 or Option 2 with advanced receiver. </w:t>
            </w:r>
            <w:bookmarkStart w:id="2" w:name="_GoBack"/>
            <w:bookmarkEnd w:id="2"/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Option 1-2 should not be adopted considering the following aspects. </w:t>
            </w:r>
          </w:p>
          <w:p>
            <w:pPr>
              <w:numPr>
                <w:ilvl w:val="0"/>
                <w:numId w:val="14"/>
              </w:numPr>
              <w:bidi w:val="0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</w:rPr>
              <w:t>ew rate-matching for Option 1-2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,  which increases both NW and UE complexity</w:t>
            </w:r>
          </w:p>
          <w:p>
            <w:pPr>
              <w:numPr>
                <w:ilvl w:val="0"/>
                <w:numId w:val="14"/>
              </w:numPr>
              <w:bidi w:val="0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No clear performance gain over Option 1-1</w:t>
            </w:r>
          </w:p>
          <w:p>
            <w:pPr>
              <w:numPr>
                <w:ilvl w:val="0"/>
                <w:numId w:val="14"/>
              </w:numPr>
              <w:bidi w:val="0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Large spec impacts</w:t>
            </w:r>
          </w:p>
          <w:p>
            <w:pPr>
              <w:numPr>
                <w:ilvl w:val="0"/>
                <w:numId w:val="14"/>
              </w:numPr>
              <w:bidi w:val="0"/>
              <w:ind w:left="420" w:leftChars="0" w:hanging="42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Option 1-2 is out of WI scope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</w:tcPr>
          <w:p>
            <w:pPr>
              <w:spacing w:before="120" w:line="280" w:lineRule="atLeast"/>
            </w:pPr>
          </w:p>
        </w:tc>
        <w:tc>
          <w:tcPr>
            <w:tcW w:w="8275" w:type="dxa"/>
          </w:tcPr>
          <w:p>
            <w:pPr>
              <w:spacing w:before="120" w:line="280" w:lineRule="atLeast"/>
            </w:pPr>
          </w:p>
        </w:tc>
      </w:tr>
    </w:tbl>
    <w:p/>
    <w:p/>
    <w:p>
      <w:pPr>
        <w:pStyle w:val="2"/>
        <w:pBdr>
          <w:top w:val="single" w:color="auto" w:sz="12" w:space="4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>
      <w:pPr>
        <w:spacing w:before="120"/>
      </w:pPr>
    </w:p>
    <w:p>
      <w:pPr>
        <w:spacing w:before="120"/>
      </w:pPr>
      <w:r>
        <w:t>[1] RP-213575, New WI: Enhancement of NR Dynamic spectrum sharing (DSS), Ericsson, 3GPP TSG RAN Meeting #94e, Electronic Meeting, Dec. 6 - 17, 2021.</w:t>
      </w:r>
    </w:p>
    <w:p>
      <w:pPr>
        <w:spacing w:before="120"/>
      </w:pPr>
      <w:r>
        <w:t>[2] R1-2205864, Discussion on NR PDCCH reception in symbols with LTE CRS REs</w:t>
      </w:r>
      <w:r>
        <w:tab/>
      </w:r>
      <w:r>
        <w:t>Huawei, HiSilicon</w:t>
      </w:r>
    </w:p>
    <w:p>
      <w:pPr>
        <w:spacing w:before="120"/>
      </w:pPr>
      <w:r>
        <w:t>[3] R1-2205964</w:t>
      </w:r>
      <w:r>
        <w:tab/>
      </w:r>
      <w:r>
        <w:t>Discussion on NR PDCCH reception for DSS</w:t>
      </w:r>
      <w:r>
        <w:tab/>
      </w:r>
      <w:r>
        <w:t>ZTE</w:t>
      </w:r>
    </w:p>
    <w:p>
      <w:pPr>
        <w:spacing w:before="120"/>
      </w:pPr>
      <w:r>
        <w:t>[4] R1-2206003</w:t>
      </w:r>
      <w:r>
        <w:tab/>
      </w:r>
      <w:r>
        <w:t>Discussion on NR PDCCH reception in symbols with LTE CRS REs</w:t>
      </w:r>
      <w:r>
        <w:tab/>
      </w:r>
      <w:r>
        <w:t>Spreadtrum Communications</w:t>
      </w:r>
    </w:p>
    <w:p>
      <w:pPr>
        <w:spacing w:before="120"/>
      </w:pPr>
      <w:r>
        <w:t xml:space="preserve">[5] </w:t>
      </w:r>
      <w:r>
        <w:rPr>
          <w:rFonts w:cs="Arial"/>
          <w:bCs/>
        </w:rPr>
        <w:t>R1-2206057</w:t>
      </w:r>
      <w:r>
        <w:tab/>
      </w:r>
      <w:r>
        <w:rPr>
          <w:rFonts w:cs="Arial"/>
        </w:rPr>
        <w:t>Discussion on PDCCH reception on CRS symbol</w:t>
      </w:r>
      <w:r>
        <w:tab/>
      </w:r>
      <w:r>
        <w:t>vivo</w:t>
      </w:r>
    </w:p>
    <w:p>
      <w:pPr>
        <w:spacing w:before="120"/>
      </w:pPr>
      <w:r>
        <w:t>[6] R1-2206324</w:t>
      </w:r>
      <w:r>
        <w:tab/>
      </w:r>
      <w:r>
        <w:t>Discussion on NR PDCCH reception in symbols with LTE CRS REs</w:t>
      </w:r>
      <w:r>
        <w:tab/>
      </w:r>
      <w:r>
        <w:t>Oppo.</w:t>
      </w:r>
    </w:p>
    <w:p>
      <w:pPr>
        <w:spacing w:before="120"/>
      </w:pPr>
      <w:r>
        <w:t>[7] R1-2206432</w:t>
      </w:r>
      <w:r>
        <w:tab/>
      </w:r>
      <w:r>
        <w:t>DSS – NR PDCCH overlapping with LTE CRS</w:t>
      </w:r>
      <w:r>
        <w:tab/>
      </w:r>
      <w:r>
        <w:t>Nokia, Nokia Shanghai Bell</w:t>
      </w:r>
    </w:p>
    <w:p>
      <w:pPr>
        <w:spacing w:before="120"/>
      </w:pPr>
      <w:r>
        <w:t>[8] R1-2206842</w:t>
      </w:r>
      <w:r>
        <w:tab/>
      </w:r>
      <w:r>
        <w:t>On PDCCH receptions in symbols with LTE CRS</w:t>
      </w:r>
      <w:r>
        <w:tab/>
      </w:r>
      <w:r>
        <w:t>Samsung</w:t>
      </w:r>
    </w:p>
    <w:p>
      <w:pPr>
        <w:spacing w:before="120"/>
      </w:pPr>
      <w:r>
        <w:t>[9] R1-2207011</w:t>
      </w:r>
      <w:r>
        <w:tab/>
      </w:r>
      <w:r>
        <w:t>Discussion on NR PDCCH reception in symbols with LTE CRS REs</w:t>
      </w:r>
      <w:r>
        <w:tab/>
      </w:r>
      <w:r>
        <w:t>Mediatek</w:t>
      </w:r>
    </w:p>
    <w:p>
      <w:pPr>
        <w:spacing w:before="120"/>
      </w:pPr>
      <w:r>
        <w:t>[10] R1-2207039</w:t>
      </w:r>
      <w:r>
        <w:tab/>
      </w:r>
      <w:r>
        <w:t>Discussion on NR PDCCH reception in symbols with LTE CRS REs</w:t>
      </w:r>
      <w:r>
        <w:tab/>
      </w:r>
      <w:r>
        <w:t>LG</w:t>
      </w:r>
    </w:p>
    <w:p>
      <w:pPr>
        <w:spacing w:before="120"/>
      </w:pPr>
      <w:r>
        <w:t>[11] R1-2207130</w:t>
      </w:r>
      <w:r>
        <w:tab/>
      </w:r>
      <w:r>
        <w:t>Evaluation of NR PDCCH overlapping with LTE CRS</w:t>
      </w:r>
      <w:r>
        <w:tab/>
      </w:r>
      <w:r>
        <w:t>InterDigital</w:t>
      </w:r>
    </w:p>
    <w:p>
      <w:pPr>
        <w:spacing w:before="120"/>
      </w:pPr>
      <w:r>
        <w:t>[12] R1-2207249</w:t>
      </w:r>
      <w:r>
        <w:tab/>
      </w:r>
      <w:r>
        <w:t>NR PDCCH reception in symbols with LTE CRS REs</w:t>
      </w:r>
      <w:r>
        <w:tab/>
      </w:r>
      <w:r>
        <w:t>Qualcomm</w:t>
      </w:r>
    </w:p>
    <w:p>
      <w:pPr>
        <w:spacing w:before="120"/>
      </w:pPr>
      <w:r>
        <w:t>[13] R1-2207347</w:t>
      </w:r>
      <w:r>
        <w:tab/>
      </w:r>
      <w:r>
        <w:t>Discussion on NR PDCCH reception in symbols with LTE CRS REs</w:t>
      </w:r>
      <w:r>
        <w:tab/>
      </w:r>
      <w:r>
        <w:t>Apple</w:t>
      </w:r>
    </w:p>
    <w:p>
      <w:pPr>
        <w:spacing w:before="120"/>
      </w:pPr>
      <w:r>
        <w:t>[14] R1-2207422</w:t>
      </w:r>
      <w:r>
        <w:tab/>
      </w:r>
      <w:r>
        <w:t>Discussion on NR PDCCH reception in symbols with LTE CRS REs</w:t>
      </w:r>
      <w:r>
        <w:tab/>
      </w:r>
      <w:r>
        <w:t>NTT DOCOMO.</w:t>
      </w:r>
    </w:p>
    <w:p>
      <w:pPr>
        <w:spacing w:before="120"/>
      </w:pPr>
      <w:r>
        <w:t xml:space="preserve">[15] </w:t>
      </w:r>
      <w:r>
        <w:rPr>
          <w:lang w:val="de-DE"/>
        </w:rPr>
        <w:t>R1-2207439</w:t>
      </w:r>
      <w:r>
        <w:tab/>
      </w:r>
      <w:r>
        <w:t>NR PDCCH reception in symbols with LTE CRS REs</w:t>
      </w:r>
      <w:r>
        <w:tab/>
      </w:r>
      <w:r>
        <w:t>Ericsson</w:t>
      </w:r>
    </w:p>
    <w:p>
      <w:pPr>
        <w:spacing w:before="120"/>
      </w:pPr>
      <w:r>
        <w:t>[16] R1-2207591</w:t>
      </w:r>
      <w:r>
        <w:tab/>
      </w:r>
      <w:r>
        <w:t>Considerations on NR PDCCH for DSS</w:t>
      </w:r>
      <w:r>
        <w:tab/>
      </w:r>
      <w:r>
        <w:t>KT</w:t>
      </w:r>
    </w:p>
    <w:p>
      <w:pPr>
        <w:spacing w:before="120"/>
      </w:pPr>
    </w:p>
    <w:p>
      <w:pPr>
        <w:pStyle w:val="2"/>
        <w:pBdr>
          <w:top w:val="single" w:color="auto" w:sz="12" w:space="4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Appendix (Summary of the agreements)</w:t>
      </w:r>
    </w:p>
    <w:p/>
    <w:p>
      <w:pPr>
        <w:pStyle w:val="3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>
      <w:pPr>
        <w:spacing w:before="120"/>
        <w:rPr>
          <w:rFonts w:eastAsia="等线"/>
          <w:b/>
          <w:bCs/>
          <w:highlight w:val="green"/>
        </w:rPr>
      </w:pPr>
      <w:r>
        <w:rPr>
          <w:rFonts w:hint="eastAsia" w:eastAsia="等线"/>
          <w:b/>
          <w:bCs/>
          <w:highlight w:val="green"/>
        </w:rPr>
        <w:t>A</w:t>
      </w:r>
      <w:r>
        <w:rPr>
          <w:rFonts w:eastAsia="等线"/>
          <w:b/>
          <w:bCs/>
          <w:highlight w:val="green"/>
        </w:rPr>
        <w:t xml:space="preserve">greement </w:t>
      </w:r>
    </w:p>
    <w:p>
      <w:pPr>
        <w:spacing w:before="120"/>
        <w:rPr>
          <w:rFonts w:eastAsia="等线"/>
          <w:b/>
          <w:bCs/>
        </w:rPr>
      </w:pPr>
      <w:r>
        <w:rPr>
          <w:rFonts w:eastAsia="等线"/>
          <w:b/>
          <w:bCs/>
        </w:rPr>
        <w:t>To evaluate the following options:</w:t>
      </w:r>
    </w:p>
    <w:p>
      <w:pPr>
        <w:pStyle w:val="114"/>
        <w:numPr>
          <w:ilvl w:val="1"/>
          <w:numId w:val="15"/>
        </w:numPr>
        <w:spacing w:after="120"/>
        <w:ind w:left="264" w:leftChars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Option-1-1: No NR-PDCCH-DMRS is transmitted for only the REs overlapping with LTE-CRS of the OFDM symbol, NR-PDCCH is punctured on REs colliding with LTE-CRS, NR-PDCCH must span at least 2 consecutive symbols with at least 1 symbol not overlapping with LTE-CRS </w:t>
      </w:r>
    </w:p>
    <w:p>
      <w:pPr>
        <w:pStyle w:val="114"/>
        <w:spacing w:after="120"/>
        <w:ind w:left="726" w:leftChars="330"/>
        <w:rPr>
          <w:rFonts w:ascii="Times New Roman" w:hAnsi="Times New Roman"/>
          <w:color w:val="000000"/>
        </w:rPr>
      </w:pPr>
    </w:p>
    <w:p>
      <w:pPr>
        <w:pStyle w:val="114"/>
        <w:numPr>
          <w:ilvl w:val="1"/>
          <w:numId w:val="15"/>
        </w:numPr>
        <w:spacing w:after="120"/>
        <w:ind w:left="264" w:leftChars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Option-1-2: 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 </w:t>
      </w:r>
    </w:p>
    <w:p>
      <w:pPr>
        <w:pStyle w:val="114"/>
        <w:spacing w:after="120"/>
        <w:ind w:left="0"/>
        <w:rPr>
          <w:rFonts w:ascii="Times New Roman" w:hAnsi="Times New Roman"/>
          <w:color w:val="000000"/>
        </w:rPr>
      </w:pPr>
    </w:p>
    <w:p>
      <w:pPr>
        <w:pStyle w:val="114"/>
        <w:numPr>
          <w:ilvl w:val="1"/>
          <w:numId w:val="15"/>
        </w:numPr>
        <w:spacing w:after="120"/>
        <w:ind w:left="264" w:leftChars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>
      <w:pPr>
        <w:pStyle w:val="114"/>
        <w:numPr>
          <w:ilvl w:val="2"/>
          <w:numId w:val="15"/>
        </w:num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 puncture is baseline (UE side)</w:t>
      </w:r>
    </w:p>
    <w:p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Observation</w:t>
      </w:r>
    </w:p>
    <w:p>
      <w:pPr>
        <w:rPr>
          <w:color w:val="000000"/>
        </w:rPr>
      </w:pPr>
      <w:r>
        <w:rPr>
          <w:color w:val="000000"/>
        </w:rPr>
        <w:t>For evaluations consider the following options: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Option 1-1:</w:t>
      </w:r>
    </w:p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PDCCH and PDCCH DMRS mapping to REs: Legacy</w:t>
      </w:r>
    </w:p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PDCCH REs overlapping with LTE CRS: Receiver punctures</w:t>
      </w:r>
    </w:p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bookmarkStart w:id="1" w:name="_Hlk103593086"/>
      <w:r>
        <w:rPr>
          <w:rFonts w:ascii="Times New Roman" w:hAnsi="Times New Roman" w:eastAsia="等线"/>
          <w:color w:val="000000"/>
        </w:rPr>
        <w:t xml:space="preserve">PDCCH DMRS REs overlapping with LTE CRS: </w:t>
      </w:r>
      <w:r>
        <w:rPr>
          <w:rFonts w:ascii="Times New Roman" w:hAnsi="Times New Roman" w:eastAsia="Malgun Gothic"/>
          <w:color w:val="000000"/>
        </w:rPr>
        <w:t xml:space="preserve">All DMRS REs on overlapping symbol Not used for CE, </w:t>
      </w:r>
      <w:r>
        <w:rPr>
          <w:rFonts w:ascii="Times New Roman" w:hAnsi="Times New Roman" w:eastAsia="等线"/>
          <w:color w:val="000000"/>
        </w:rPr>
        <w:t>or legacy pattern is assumed</w:t>
      </w:r>
    </w:p>
    <w:bookmarkEnd w:id="1"/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 xml:space="preserve">gNB transmits: Irrelevant what the gNB transmits on REs overlapping with the LTE CRS REs as indicated in the CRS RM pattern. </w:t>
      </w:r>
    </w:p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Channel estimator: operate on clean symbol DMRS only, Legacy</w:t>
      </w:r>
    </w:p>
    <w:p>
      <w:pPr>
        <w:pStyle w:val="114"/>
        <w:ind w:left="420"/>
        <w:contextualSpacing/>
        <w:rPr>
          <w:rFonts w:ascii="Times New Roman" w:hAnsi="Times New Roman" w:eastAsia="等线"/>
          <w:color w:val="000000"/>
        </w:rPr>
      </w:pPr>
    </w:p>
    <w:p>
      <w:pPr>
        <w:pStyle w:val="114"/>
        <w:ind w:left="0"/>
        <w:contextualSpacing/>
        <w:rPr>
          <w:rFonts w:ascii="Times New Roman" w:hAnsi="Times New Roman" w:eastAsia="等线"/>
          <w:b/>
          <w:bCs/>
          <w:color w:val="000000"/>
        </w:rPr>
      </w:pPr>
      <w:r>
        <w:rPr>
          <w:rFonts w:ascii="Times New Roman" w:hAnsi="Times New Roman" w:eastAsia="等线"/>
          <w:b/>
          <w:bCs/>
          <w:color w:val="000000"/>
        </w:rPr>
        <w:t>Option 1-2:</w:t>
      </w:r>
    </w:p>
    <w:p>
      <w:pPr>
        <w:pStyle w:val="114"/>
        <w:numPr>
          <w:ilvl w:val="0"/>
          <w:numId w:val="11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PDCCH and PDCCH DMRS mapping to REs: New PDCCH rate-matching</w:t>
      </w:r>
    </w:p>
    <w:p>
      <w:pPr>
        <w:pStyle w:val="114"/>
        <w:numPr>
          <w:ilvl w:val="1"/>
          <w:numId w:val="12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 xml:space="preserve">No PDCCH DMRS on the symbol overlapping with LTE CRS 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PDCCH REs overlapping with LTE CRS: Receiver punctures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PDCCH DMRS REs overlapping with LTE CRS: Not expected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Channel estimator (UE assumption): Operate on clean symbol DMRS only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  <w:color w:val="000000"/>
        </w:rPr>
      </w:pPr>
      <w:r>
        <w:rPr>
          <w:rFonts w:ascii="Times New Roman" w:hAnsi="Times New Roman" w:eastAsia="等线"/>
          <w:color w:val="000000"/>
        </w:rPr>
        <w:t>gNB transmits: Irrelevant what the gNB transmits on REs overlapping with the LTE CRS REs as indicated in the CRS RM pattern</w:t>
      </w:r>
    </w:p>
    <w:p>
      <w:pPr>
        <w:rPr>
          <w:rFonts w:ascii="Times New Roman" w:hAnsi="Times New Roman"/>
        </w:rPr>
      </w:pPr>
    </w:p>
    <w:p>
      <w:pPr>
        <w:pStyle w:val="114"/>
        <w:ind w:left="0"/>
        <w:contextualSpacing/>
        <w:rPr>
          <w:rFonts w:ascii="Times New Roman" w:hAnsi="Times New Roman" w:eastAsia="等线"/>
          <w:b/>
          <w:bCs/>
        </w:rPr>
      </w:pPr>
      <w:r>
        <w:rPr>
          <w:rFonts w:ascii="Times New Roman" w:hAnsi="Times New Roman" w:eastAsia="等线"/>
          <w:b/>
          <w:bCs/>
        </w:rPr>
        <w:t>Option 2: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>PDCCH and PDCCH DMRS mapping to REs: Legacy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 xml:space="preserve">PDCCH REs overlapping with LTE CRS: Baseline: Process as legacy 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>PDCCH DMRS REs overlapping with LTE CRS: Aware or unaware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>Channel estimator: Baseline: Process as legacy (Receiver does not puncture DMRS), Optional: Advanced receiver (Use the DMRS other than legacy behavior)</w:t>
      </w:r>
    </w:p>
    <w:p>
      <w:pPr>
        <w:pStyle w:val="114"/>
        <w:numPr>
          <w:ilvl w:val="0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 xml:space="preserve">gNB transmits: </w:t>
      </w:r>
    </w:p>
    <w:p>
      <w:pPr>
        <w:pStyle w:val="114"/>
        <w:numPr>
          <w:ilvl w:val="1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 xml:space="preserve">Baseline: May puncture the PDCCH/PDCCH DMRS, or may superposition the two. </w:t>
      </w:r>
    </w:p>
    <w:p>
      <w:pPr>
        <w:pStyle w:val="114"/>
        <w:numPr>
          <w:ilvl w:val="1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 xml:space="preserve">Optional: may puncture LTE CRS of </w:t>
      </w:r>
      <w:r>
        <w:rPr>
          <w:rFonts w:hint="eastAsia" w:ascii="Times New Roman" w:hAnsi="Times New Roman" w:eastAsia="等线"/>
        </w:rPr>
        <w:t>Port</w:t>
      </w:r>
      <w:r>
        <w:rPr>
          <w:rFonts w:ascii="Times New Roman" w:hAnsi="Times New Roman" w:eastAsia="等线"/>
        </w:rPr>
        <w:t xml:space="preserve">#2&amp;3. </w:t>
      </w:r>
    </w:p>
    <w:p>
      <w:pPr>
        <w:pStyle w:val="114"/>
        <w:numPr>
          <w:ilvl w:val="1"/>
          <w:numId w:val="12"/>
        </w:numPr>
        <w:contextualSpacing/>
        <w:rPr>
          <w:rFonts w:ascii="Times New Roman" w:hAnsi="Times New Roman" w:eastAsia="等线"/>
        </w:rPr>
      </w:pPr>
      <w:r>
        <w:rPr>
          <w:rFonts w:ascii="Times New Roman" w:hAnsi="Times New Roman" w:eastAsia="等线"/>
        </w:rPr>
        <w:t>Impact to LTE UEs should be considered if superposition is used.</w:t>
      </w:r>
    </w:p>
    <w:p>
      <w:pPr>
        <w:pStyle w:val="114"/>
        <w:spacing w:after="120"/>
        <w:ind w:left="0"/>
        <w:rPr>
          <w:rFonts w:ascii="Times New Roman" w:hAnsi="Times New Roman"/>
        </w:rPr>
      </w:pPr>
    </w:p>
    <w:p>
      <w:pPr>
        <w:shd w:val="clear" w:color="auto" w:fill="FFFFFF"/>
        <w:rPr>
          <w:highlight w:val="green"/>
          <w:lang w:eastAsia="ja-JP"/>
        </w:rPr>
      </w:pPr>
      <w:r>
        <w:rPr>
          <w:highlight w:val="green"/>
          <w:lang w:eastAsia="ja-JP"/>
        </w:rPr>
        <w:t>Agreement</w:t>
      </w:r>
    </w:p>
    <w:p>
      <w:pPr>
        <w:shd w:val="clear" w:color="auto" w:fill="FFFFFF"/>
        <w:rPr>
          <w:lang w:eastAsia="ja-JP"/>
        </w:rPr>
      </w:pPr>
      <w:r>
        <w:rPr>
          <w:lang w:eastAsia="ja-JP"/>
        </w:rPr>
        <w:t>For evaluations consider the following list of scenarios:</w:t>
      </w:r>
    </w:p>
    <w:p>
      <w:pPr>
        <w:shd w:val="clear" w:color="auto" w:fill="FFFFFF"/>
        <w:rPr>
          <w:lang w:eastAsia="ja-JP"/>
        </w:rPr>
      </w:pPr>
      <w:r>
        <w:rPr>
          <w:lang w:eastAsia="ja-JP"/>
        </w:rPr>
        <w:t>Scenario#1A: 1 symbol CORESET, overlapped with CRS – Option 2 only</w:t>
      </w:r>
    </w:p>
    <w:p>
      <w:pPr>
        <w:shd w:val="clear" w:color="auto" w:fill="FFFFFF"/>
        <w:rPr>
          <w:lang w:eastAsia="ja-JP"/>
        </w:rPr>
      </w:pPr>
      <w:r>
        <w:rPr>
          <w:lang w:eastAsia="ja-JP"/>
        </w:rPr>
        <w:t>Scenario#2: 2 symbols CORESET, including 1 overlapping symbol and 1 clean symbol – Option 1-1/1-2/2</w:t>
      </w:r>
    </w:p>
    <w:p>
      <w:pPr>
        <w:shd w:val="clear" w:color="auto" w:fill="FFFFFF"/>
        <w:rPr>
          <w:lang w:eastAsia="ja-JP"/>
        </w:rPr>
      </w:pPr>
      <w:r>
        <w:rPr>
          <w:lang w:eastAsia="ja-JP"/>
        </w:rPr>
        <w:t>Scenario#3: 3 symbols CORESET, including 1 overlapping symbol and 2 clean symbols – Option 1-1/1-2/2</w:t>
      </w:r>
    </w:p>
    <w:p>
      <w:pPr>
        <w:pStyle w:val="114"/>
        <w:spacing w:after="120"/>
        <w:ind w:left="0"/>
        <w:rPr>
          <w:rFonts w:ascii="Times New Roman" w:hAnsi="Times New Roman"/>
        </w:rPr>
      </w:pPr>
    </w:p>
    <w:p>
      <w:pPr>
        <w:pStyle w:val="114"/>
        <w:spacing w:after="120"/>
        <w:ind w:left="0"/>
        <w:rPr>
          <w:rFonts w:ascii="Times New Roman" w:hAnsi="Times New Roman" w:eastAsia="等线"/>
          <w:highlight w:val="green"/>
        </w:rPr>
      </w:pPr>
      <w:r>
        <w:rPr>
          <w:rFonts w:ascii="Times New Roman" w:hAnsi="Times New Roman" w:eastAsia="等线"/>
          <w:highlight w:val="green"/>
        </w:rPr>
        <w:t>Agreement</w:t>
      </w:r>
    </w:p>
    <w:p>
      <w:pPr>
        <w:spacing w:before="120"/>
        <w:rPr>
          <w:rFonts w:ascii="Calibri" w:hAnsi="Calibri" w:eastAsia="Gulim" w:cs="Calibri"/>
          <w:b/>
          <w:bCs/>
          <w:szCs w:val="20"/>
        </w:rPr>
      </w:pPr>
      <w:r>
        <w:rPr>
          <w:rFonts w:ascii="Calibri" w:hAnsi="Calibri"/>
          <w:szCs w:val="20"/>
        </w:rPr>
        <w:t>LLS simulations assumptions, [] are optional:</w:t>
      </w:r>
    </w:p>
    <w:p>
      <w:pPr>
        <w:rPr>
          <w:rFonts w:ascii="Calibri" w:hAnsi="Calibri"/>
          <w:szCs w:val="20"/>
        </w:rPr>
      </w:pPr>
    </w:p>
    <w:tbl>
      <w:tblPr>
        <w:tblStyle w:val="48"/>
        <w:tblW w:w="0" w:type="auto"/>
        <w:tblInd w:w="11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5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TDL-C 300, [TDL-A 300]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 Tx, (M,N,P,Mg,Ng;Mp,Np)= (1,2,2,1,1;1,1),</w:t>
            </w:r>
          </w:p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[2 Tx, (M,N,P,Mg,Ng;Mp,Np)= (1,1,2,1,1;1,1).]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Rx (M,N,P,Mg,Ng;Mp,Np)= (1,1,2,1,1;1,1)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 bits [50bits]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 PRBs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single 4 port CRS pattern, [additional 4 port CRS pattern]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UE 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Power ratio of LTE-CRS RE/NR PDCCH RE, Power ratio of LTE-CRS RE/NR PDCCH-DMRS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/>
    <w:p>
      <w:pPr>
        <w:pStyle w:val="114"/>
        <w:spacing w:after="120"/>
        <w:ind w:left="0"/>
        <w:rPr>
          <w:rFonts w:ascii="Times New Roman" w:hAnsi="Times New Roman"/>
        </w:rPr>
      </w:pPr>
    </w:p>
    <w:p>
      <w:pPr>
        <w:spacing w:before="120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 </w:t>
      </w:r>
    </w:p>
    <w:p>
      <w:pPr>
        <w:spacing w:before="120"/>
        <w:rPr>
          <w:b/>
          <w:bCs/>
          <w:u w:val="single"/>
        </w:rPr>
      </w:pPr>
      <w:r>
        <w:t>SLS simulations assumptions, [] are optional:</w:t>
      </w:r>
    </w:p>
    <w:p/>
    <w:tbl>
      <w:tblPr>
        <w:tblStyle w:val="4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9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Values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2.1 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0"/>
              </w:rPr>
            </w:pPr>
            <w:r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</w:tcPr>
          <w:p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 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0"/>
                <w:lang w:eastAsia="sv-SE"/>
              </w:rPr>
            </w:pPr>
            <w:r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20 MHz [5, 10 MHz]</w:t>
            </w:r>
            <w:r>
              <w:rPr>
                <w:rFonts w:hint="eastAsia"/>
                <w:szCs w:val="20"/>
              </w:rPr>
              <w:t>，s</w:t>
            </w:r>
            <w:r>
              <w:rPr>
                <w:szCs w:val="20"/>
              </w:rPr>
              <w:t>ame as that in 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25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1.5m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49 dBm 20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Urban Macro (500m ISD), [Rma (1732m ISD)]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80% indoor, 20% outdoor (Uma) [50% indoor,50% in-car (Rma)]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Indoor users: 3km/h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vMerge w:val="continue"/>
            <w:vAlign w:val="center"/>
          </w:tcPr>
          <w:p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Outdoor users (in-car): 30 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5 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8 dBi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9 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-174 dBm/Hz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Traffic</w:t>
            </w:r>
            <w:r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eastAsia="等线"/>
                <w:szCs w:val="20"/>
              </w:rPr>
            </w:pPr>
            <w:r>
              <w:rPr>
                <w:szCs w:val="20"/>
              </w:rPr>
              <w:t>Full Buffer</w:t>
            </w:r>
            <w:r>
              <w:rPr>
                <w:rFonts w:ascii="Times New Roman" w:hAnsi="Times New Roman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Downtilt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102° or according to Scenario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35m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等线"/>
                <w:szCs w:val="20"/>
              </w:rPr>
            </w:pPr>
            <w:r>
              <w:rPr>
                <w:rFonts w:hint="eastAsia" w:eastAsia="等线"/>
                <w:szCs w:val="20"/>
              </w:rPr>
              <w:t>K</w:t>
            </w:r>
            <w:r>
              <w:rPr>
                <w:rFonts w:eastAsia="等线"/>
                <w:szCs w:val="20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Companies to report (e.g., total PDCCH capacity,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</w:rPr>
              <w:t>PDCCH coverage/outage,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</w:rPr>
              <w:t xml:space="preserve">Potential degradation of LTE, </w:t>
            </w:r>
            <w:r>
              <w:rPr>
                <w:rFonts w:hint="eastAsia" w:ascii="Times New Roman" w:hAnsi="Times New Roman" w:eastAsia="宋体"/>
              </w:rPr>
              <w:t>whether and how to achieve coexistence with legacy UEs</w:t>
            </w:r>
            <w:r>
              <w:rPr>
                <w:rFonts w:ascii="Times New Roman" w:hAnsi="Times New Roman" w:eastAsia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0"/>
              </w:rPr>
            </w:pPr>
            <w:r>
              <w:rPr>
                <w:rFonts w:ascii="Times New Roman" w:hAnsi="Times New Roman" w:eastAsia="宋体"/>
              </w:rPr>
              <w:t>Others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Companies to report (e.g., fraction of LTE UEs, fraction of Rel-18 DSS NR UEs, etc.). Companies to report considered baseline(s). Baseline(s) aim(s) to be comparable to the evaluated option(s)</w:t>
            </w:r>
          </w:p>
        </w:tc>
      </w:tr>
    </w:tbl>
    <w:p>
      <w:pPr>
        <w:spacing w:before="120"/>
        <w:ind w:firstLine="288"/>
        <w:rPr>
          <w:b/>
          <w:bCs/>
          <w:u w:val="single"/>
        </w:rPr>
      </w:pPr>
    </w:p>
    <w:p>
      <w:pPr>
        <w:spacing w:before="120"/>
        <w:ind w:firstLine="288"/>
        <w:rPr>
          <w:b/>
          <w:bCs/>
          <w:u w:val="single"/>
        </w:rPr>
      </w:pPr>
    </w:p>
    <w:p>
      <w:pPr>
        <w:spacing w:before="120"/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wif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5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9</w:t>
    </w:r>
    <w:r>
      <w:rPr>
        <w:rStyle w:val="5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4"/>
      </w:rPr>
    </w:pPr>
    <w:r>
      <w:rPr>
        <w:rStyle w:val="54"/>
      </w:rPr>
      <w:fldChar w:fldCharType="begin"/>
    </w:r>
    <w:r>
      <w:rPr>
        <w:rStyle w:val="54"/>
      </w:rPr>
      <w:instrText xml:space="preserve">PAGE  </w:instrText>
    </w:r>
    <w:r>
      <w:rPr>
        <w:rStyle w:val="54"/>
      </w:rPr>
      <w:fldChar w:fldCharType="separate"/>
    </w:r>
    <w:r>
      <w:rPr>
        <w:rStyle w:val="54"/>
      </w:rPr>
      <w:t>1</w:t>
    </w:r>
    <w:r>
      <w:rPr>
        <w:rStyle w:val="54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pStyle w:val="146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64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FD1BD5"/>
    <w:multiLevelType w:val="multilevel"/>
    <w:tmpl w:val="07FD1BD5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Times New Roman" w:hAnsi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CD71883"/>
    <w:multiLevelType w:val="multilevel"/>
    <w:tmpl w:val="1CD71883"/>
    <w:lvl w:ilvl="0" w:tentative="0">
      <w:start w:val="1"/>
      <w:numFmt w:val="decimal"/>
      <w:pStyle w:val="186"/>
      <w:lvlText w:val="Proposal %1: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" w:hanging="420"/>
      </w:pPr>
    </w:lvl>
    <w:lvl w:ilvl="2" w:tentative="0">
      <w:start w:val="1"/>
      <w:numFmt w:val="lowerRoman"/>
      <w:lvlText w:val="%3."/>
      <w:lvlJc w:val="right"/>
      <w:pPr>
        <w:ind w:left="550" w:hanging="420"/>
      </w:pPr>
    </w:lvl>
    <w:lvl w:ilvl="3" w:tentative="0">
      <w:start w:val="1"/>
      <w:numFmt w:val="decimal"/>
      <w:lvlText w:val="%4."/>
      <w:lvlJc w:val="left"/>
      <w:pPr>
        <w:ind w:left="970" w:hanging="420"/>
      </w:pPr>
    </w:lvl>
    <w:lvl w:ilvl="4" w:tentative="0">
      <w:start w:val="1"/>
      <w:numFmt w:val="lowerLetter"/>
      <w:lvlText w:val="%5)"/>
      <w:lvlJc w:val="left"/>
      <w:pPr>
        <w:ind w:left="1390" w:hanging="420"/>
      </w:pPr>
    </w:lvl>
    <w:lvl w:ilvl="5" w:tentative="0">
      <w:start w:val="1"/>
      <w:numFmt w:val="lowerRoman"/>
      <w:lvlText w:val="%6."/>
      <w:lvlJc w:val="right"/>
      <w:pPr>
        <w:ind w:left="1810" w:hanging="420"/>
      </w:pPr>
    </w:lvl>
    <w:lvl w:ilvl="6" w:tentative="0">
      <w:start w:val="1"/>
      <w:numFmt w:val="decimal"/>
      <w:lvlText w:val="%7."/>
      <w:lvlJc w:val="left"/>
      <w:pPr>
        <w:ind w:left="2230" w:hanging="420"/>
      </w:pPr>
    </w:lvl>
    <w:lvl w:ilvl="7" w:tentative="0">
      <w:start w:val="1"/>
      <w:numFmt w:val="lowerLetter"/>
      <w:lvlText w:val="%8)"/>
      <w:lvlJc w:val="left"/>
      <w:pPr>
        <w:ind w:left="2650" w:hanging="420"/>
      </w:pPr>
    </w:lvl>
    <w:lvl w:ilvl="8" w:tentative="0">
      <w:start w:val="1"/>
      <w:numFmt w:val="lowerRoman"/>
      <w:lvlText w:val="%9."/>
      <w:lvlJc w:val="right"/>
      <w:pPr>
        <w:ind w:left="3070" w:hanging="420"/>
      </w:pPr>
    </w:lvl>
  </w:abstractNum>
  <w:abstractNum w:abstractNumId="4">
    <w:nsid w:val="1E717A35"/>
    <w:multiLevelType w:val="multilevel"/>
    <w:tmpl w:val="1E717A3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709" w:hanging="432"/>
      </w:pPr>
    </w:lvl>
    <w:lvl w:ilvl="2" w:tentative="0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BA5639"/>
    <w:multiLevelType w:val="multilevel"/>
    <w:tmpl w:val="26BA5639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MS Mincho" w:cs="Times New Roman"/>
      </w:rPr>
    </w:lvl>
    <w:lvl w:ilvl="1" w:tentative="0">
      <w:start w:val="0"/>
      <w:numFmt w:val="bullet"/>
      <w:lvlText w:val="-"/>
      <w:lvlJc w:val="left"/>
      <w:pPr>
        <w:ind w:left="840" w:hanging="420"/>
      </w:pPr>
      <w:rPr>
        <w:rFonts w:hint="default" w:ascii="Times" w:hAnsi="Times" w:eastAsia="Batang" w:cs="Time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CC7125C"/>
    <w:multiLevelType w:val="singleLevel"/>
    <w:tmpl w:val="2CC7125C"/>
    <w:lvl w:ilvl="0" w:tentative="0">
      <w:start w:val="1"/>
      <w:numFmt w:val="bullet"/>
      <w:pStyle w:val="9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2EE550F1"/>
    <w:multiLevelType w:val="multilevel"/>
    <w:tmpl w:val="2EE550F1"/>
    <w:lvl w:ilvl="0" w:tentative="0">
      <w:start w:val="1"/>
      <w:numFmt w:val="bullet"/>
      <w:lvlText w:val="-"/>
      <w:lvlJc w:val="left"/>
      <w:pPr>
        <w:ind w:left="735" w:hanging="420"/>
      </w:pPr>
      <w:rPr>
        <w:rFonts w:hint="default" w:ascii="Calibri" w:hAnsi="Calibri" w:eastAsia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abstractNum w:abstractNumId="8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4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9">
    <w:nsid w:val="464D3319"/>
    <w:multiLevelType w:val="multilevel"/>
    <w:tmpl w:val="464D3319"/>
    <w:lvl w:ilvl="0" w:tentative="0">
      <w:start w:val="1"/>
      <w:numFmt w:val="decimal"/>
      <w:pStyle w:val="195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>
    <w:nsid w:val="5F1912B1"/>
    <w:multiLevelType w:val="multilevel"/>
    <w:tmpl w:val="5F1912B1"/>
    <w:lvl w:ilvl="0" w:tentative="0">
      <w:start w:val="1"/>
      <w:numFmt w:val="bullet"/>
      <w:pStyle w:val="15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7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C066DB7"/>
    <w:multiLevelType w:val="multilevel"/>
    <w:tmpl w:val="6C066DB7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MS Mincho" w:cs="Times New Roman"/>
      </w:rPr>
    </w:lvl>
    <w:lvl w:ilvl="1" w:tentative="0">
      <w:start w:val="0"/>
      <w:numFmt w:val="bullet"/>
      <w:lvlText w:val="-"/>
      <w:lvlJc w:val="left"/>
      <w:pPr>
        <w:ind w:left="840" w:hanging="420"/>
      </w:pPr>
      <w:rPr>
        <w:rFonts w:hint="default" w:ascii="Times" w:hAnsi="Times" w:eastAsia="Batang" w:cs="Time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7A0AFCDF"/>
    <w:multiLevelType w:val="singleLevel"/>
    <w:tmpl w:val="7A0AFCD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7C267F9C"/>
    <w:multiLevelType w:val="multilevel"/>
    <w:tmpl w:val="7C267F9C"/>
    <w:lvl w:ilvl="0" w:tentative="0">
      <w:start w:val="1"/>
      <w:numFmt w:val="bullet"/>
      <w:pStyle w:val="124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C58017A"/>
    <w:multiLevelType w:val="multilevel"/>
    <w:tmpl w:val="7C58017A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1680" w:hanging="42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8"/>
  <w:hyphenationZone w:val="425"/>
  <w:doNotHyphenateCaps/>
  <w:drawingGridHorizontalSpacing w:val="10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CEA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2CD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4A6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0F25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24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BF6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10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1DB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432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4A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339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A7EF9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1FD3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51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2DCD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49C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1B7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254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9C5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14D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3C3170E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22627C2"/>
    <w:rsid w:val="33FB1D23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2F94CF6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941E16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9E5BAB"/>
    <w:rsid w:val="72E14B06"/>
    <w:rsid w:val="74397225"/>
    <w:rsid w:val="7443134D"/>
    <w:rsid w:val="74BB2F4E"/>
    <w:rsid w:val="7657548F"/>
    <w:rsid w:val="77AA14FC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  <w:rsid w:val="CBFE6502"/>
    <w:rsid w:val="FEFF8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104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7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8"/>
    <w:qFormat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38"/>
    <w:qFormat/>
    <w:uiPriority w:val="0"/>
    <w:pPr>
      <w:spacing w:after="120"/>
    </w:pPr>
    <w:rPr>
      <w:rFonts w:ascii="Times" w:hAnsi="Times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link w:val="120"/>
    <w:qFormat/>
    <w:uiPriority w:val="99"/>
    <w:pPr>
      <w:jc w:val="center"/>
    </w:pPr>
    <w:rPr>
      <w:i/>
      <w:lang w:val="zh-CN" w:eastAsia="zh-CN"/>
    </w:rPr>
  </w:style>
  <w:style w:type="paragraph" w:styleId="37">
    <w:name w:val="header"/>
    <w:link w:val="129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Subtitle"/>
    <w:basedOn w:val="1"/>
    <w:next w:val="1"/>
    <w:link w:val="116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paragraph" w:styleId="39">
    <w:name w:val="footnote text"/>
    <w:basedOn w:val="1"/>
    <w:semiHidden/>
    <w:qFormat/>
    <w:uiPriority w:val="0"/>
    <w:pPr>
      <w:keepLines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semiHidden/>
    <w:qFormat/>
    <w:uiPriority w:val="0"/>
    <w:pPr>
      <w:ind w:left="1418" w:hanging="1418"/>
    </w:pPr>
  </w:style>
  <w:style w:type="paragraph" w:styleId="43">
    <w:name w:val="Body Text 2"/>
    <w:basedOn w:val="1"/>
    <w:qFormat/>
    <w:uiPriority w:val="0"/>
    <w:pPr>
      <w:tabs>
        <w:tab w:val="left" w:pos="1985"/>
      </w:tabs>
    </w:pPr>
    <w:rPr>
      <w:rFonts w:ascii="Arial" w:hAnsi="Arial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index 1"/>
    <w:basedOn w:val="1"/>
    <w:next w:val="1"/>
    <w:semiHidden/>
    <w:qFormat/>
    <w:uiPriority w:val="0"/>
    <w:pPr>
      <w:keepLines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3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Table Grid 1"/>
    <w:basedOn w:val="48"/>
    <w:unhideWhenUsed/>
    <w:qFormat/>
    <w:uiPriority w:val="0"/>
    <w:rPr>
      <w:rFonts w:eastAsia="Times New Roman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Dark List Accent 6"/>
    <w:basedOn w:val="4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basedOn w:val="52"/>
    <w:qFormat/>
    <w:uiPriority w:val="2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semiHidden/>
    <w:qFormat/>
    <w:uiPriority w:val="99"/>
    <w:rPr>
      <w:sz w:val="16"/>
      <w:szCs w:val="16"/>
    </w:rPr>
  </w:style>
  <w:style w:type="character" w:styleId="59">
    <w:name w:val="footnote reference"/>
    <w:qFormat/>
    <w:uiPriority w:val="0"/>
    <w:rPr>
      <w:b/>
      <w:position w:val="6"/>
      <w:sz w:val="16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AH"/>
    <w:basedOn w:val="64"/>
    <w:link w:val="160"/>
    <w:qFormat/>
    <w:uiPriority w:val="0"/>
    <w:rPr>
      <w:b/>
    </w:rPr>
  </w:style>
  <w:style w:type="paragraph" w:customStyle="1" w:styleId="64">
    <w:name w:val="TAC"/>
    <w:basedOn w:val="65"/>
    <w:link w:val="170"/>
    <w:qFormat/>
    <w:uiPriority w:val="0"/>
    <w:pPr>
      <w:jc w:val="center"/>
    </w:pPr>
  </w:style>
  <w:style w:type="paragraph" w:customStyle="1" w:styleId="65">
    <w:name w:val="TAL"/>
    <w:basedOn w:val="1"/>
    <w:link w:val="133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3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72">
    <w:name w:val="NW"/>
    <w:basedOn w:val="68"/>
    <w:qFormat/>
    <w:uiPriority w:val="0"/>
  </w:style>
  <w:style w:type="paragraph" w:customStyle="1" w:styleId="73">
    <w:name w:val="EW"/>
    <w:basedOn w:val="69"/>
    <w:qFormat/>
    <w:uiPriority w:val="0"/>
  </w:style>
  <w:style w:type="paragraph" w:customStyle="1" w:styleId="7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</w:pPr>
    <w:rPr>
      <w:rFonts w:ascii="Arial" w:hAnsi="Arial"/>
      <w:sz w:val="18"/>
    </w:rPr>
  </w:style>
  <w:style w:type="paragraph" w:customStyle="1" w:styleId="76">
    <w:name w:val="PL"/>
    <w:link w:val="12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1"/>
    <w:basedOn w:val="14"/>
    <w:link w:val="135"/>
    <w:qFormat/>
    <w:uiPriority w:val="0"/>
  </w:style>
  <w:style w:type="paragraph" w:customStyle="1" w:styleId="88">
    <w:name w:val="B2"/>
    <w:basedOn w:val="13"/>
    <w:link w:val="166"/>
    <w:qFormat/>
    <w:uiPriority w:val="0"/>
  </w:style>
  <w:style w:type="paragraph" w:customStyle="1" w:styleId="89">
    <w:name w:val="B3"/>
    <w:basedOn w:val="12"/>
    <w:qFormat/>
    <w:uiPriority w:val="0"/>
  </w:style>
  <w:style w:type="paragraph" w:customStyle="1" w:styleId="90">
    <w:name w:val="B4"/>
    <w:basedOn w:val="41"/>
    <w:qFormat/>
    <w:uiPriority w:val="0"/>
  </w:style>
  <w:style w:type="paragraph" w:customStyle="1" w:styleId="91">
    <w:name w:val="B5"/>
    <w:basedOn w:val="40"/>
    <w:qFormat/>
    <w:uiPriority w:val="0"/>
  </w:style>
  <w:style w:type="paragraph" w:customStyle="1" w:styleId="92">
    <w:name w:val="ZTD"/>
    <w:basedOn w:val="80"/>
    <w:qFormat/>
    <w:uiPriority w:val="0"/>
    <w:pPr>
      <w:framePr w:hRule="auto" w:y="852"/>
    </w:pPr>
    <w:rPr>
      <w:i w:val="0"/>
      <w:sz w:val="40"/>
    </w:rPr>
  </w:style>
  <w:style w:type="character" w:customStyle="1" w:styleId="93">
    <w:name w:val="MTEquationSection"/>
    <w:qFormat/>
    <w:uiPriority w:val="0"/>
    <w:rPr>
      <w:rFonts w:ascii="Arial" w:hAnsi="Arial"/>
      <w:vanish/>
      <w:color w:val="FF0000"/>
      <w:sz w:val="24"/>
    </w:rPr>
  </w:style>
  <w:style w:type="paragraph" w:customStyle="1" w:styleId="94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5">
    <w:name w:val="text"/>
    <w:basedOn w:val="1"/>
    <w:link w:val="152"/>
    <w:qFormat/>
    <w:uiPriority w:val="0"/>
    <w:pPr>
      <w:spacing w:after="240"/>
    </w:pPr>
  </w:style>
  <w:style w:type="paragraph" w:customStyle="1" w:styleId="96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97">
    <w:name w:val="00 BodyText"/>
    <w:basedOn w:val="1"/>
    <w:qFormat/>
    <w:uiPriority w:val="0"/>
    <w:pPr>
      <w:spacing w:after="220"/>
    </w:pPr>
    <w:rPr>
      <w:rFonts w:ascii="Arial" w:hAnsi="Arial"/>
    </w:rPr>
  </w:style>
  <w:style w:type="paragraph" w:customStyle="1" w:styleId="98">
    <w:name w:val="11 BodyText"/>
    <w:basedOn w:val="1"/>
    <w:qFormat/>
    <w:uiPriority w:val="0"/>
    <w:pPr>
      <w:spacing w:after="220"/>
      <w:ind w:left="1298"/>
    </w:pPr>
    <w:rPr>
      <w:rFonts w:ascii="Arial" w:hAnsi="Arial"/>
    </w:rPr>
  </w:style>
  <w:style w:type="paragraph" w:customStyle="1" w:styleId="99">
    <w:name w:val="table"/>
    <w:basedOn w:val="95"/>
    <w:next w:val="95"/>
    <w:qFormat/>
    <w:uiPriority w:val="0"/>
    <w:pPr>
      <w:spacing w:after="0"/>
      <w:jc w:val="center"/>
    </w:pPr>
  </w:style>
  <w:style w:type="paragraph" w:customStyle="1" w:styleId="100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1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2">
    <w:name w:val="body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103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character" w:customStyle="1" w:styleId="104">
    <w:name w:val="Heading 1 Char1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05">
    <w:name w:val="Heading 2 Char"/>
    <w:link w:val="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07">
    <w:name w:val="Heading 4 Char"/>
    <w:link w:val="5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08">
    <w:name w:val="Heading 5 Char"/>
    <w:link w:val="6"/>
    <w:qFormat/>
    <w:uiPriority w:val="0"/>
    <w:rPr>
      <w:rFonts w:ascii="Arial" w:hAnsi="Arial"/>
      <w:sz w:val="22"/>
      <w:lang w:val="en-GB" w:eastAsia="en-US" w:bidi="ar-SA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69"/>
    <w:qFormat/>
    <w:uiPriority w:val="34"/>
    <w:pPr>
      <w:ind w:left="720"/>
    </w:pPr>
    <w:rPr>
      <w:rFonts w:ascii="Calibri" w:hAnsi="Calibri" w:eastAsia="Calibri"/>
    </w:rPr>
  </w:style>
  <w:style w:type="paragraph" w:customStyle="1" w:styleId="115">
    <w:name w:val="Reference"/>
    <w:basedOn w:val="69"/>
    <w:qFormat/>
    <w:uiPriority w:val="0"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116">
    <w:name w:val="Subtitle Char"/>
    <w:link w:val="38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8">
    <w:name w:val="Comment Text Char"/>
    <w:link w:val="30"/>
    <w:qFormat/>
    <w:uiPriority w:val="99"/>
    <w:rPr>
      <w:rFonts w:ascii="Times New Roman" w:hAnsi="Times New Roman"/>
      <w:lang w:val="en-GB"/>
    </w:rPr>
  </w:style>
  <w:style w:type="character" w:styleId="119">
    <w:name w:val="Placeholder Text"/>
    <w:semiHidden/>
    <w:qFormat/>
    <w:uiPriority w:val="99"/>
    <w:rPr>
      <w:color w:val="808080"/>
    </w:rPr>
  </w:style>
  <w:style w:type="character" w:customStyle="1" w:styleId="120">
    <w:name w:val="Footer Char"/>
    <w:link w:val="36"/>
    <w:qFormat/>
    <w:uiPriority w:val="99"/>
    <w:rPr>
      <w:rFonts w:ascii="Arial" w:hAnsi="Arial"/>
      <w:b/>
      <w:i/>
      <w:sz w:val="18"/>
    </w:rPr>
  </w:style>
  <w:style w:type="paragraph" w:customStyle="1" w:styleId="121">
    <w:name w:val="样式 页眉"/>
    <w:basedOn w:val="37"/>
    <w:link w:val="122"/>
    <w:qFormat/>
    <w:uiPriority w:val="0"/>
    <w:rPr>
      <w:rFonts w:eastAsia="Arial"/>
      <w:bCs/>
      <w:sz w:val="22"/>
      <w:lang w:val="en-GB"/>
    </w:rPr>
  </w:style>
  <w:style w:type="character" w:customStyle="1" w:styleId="122">
    <w:name w:val="样式 页眉 Char"/>
    <w:link w:val="12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23">
    <w:name w:val="Statement Heading"/>
    <w:basedOn w:val="1"/>
    <w:next w:val="124"/>
    <w:qFormat/>
    <w:uiPriority w:val="0"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124">
    <w:name w:val="Statement Body"/>
    <w:basedOn w:val="125"/>
    <w:link w:val="126"/>
    <w:qFormat/>
    <w:uiPriority w:val="0"/>
    <w:pPr>
      <w:numPr>
        <w:ilvl w:val="0"/>
        <w:numId w:val="2"/>
      </w:numPr>
      <w:spacing w:after="100" w:afterAutospacing="1"/>
      <w:contextualSpacing/>
    </w:pPr>
  </w:style>
  <w:style w:type="paragraph" w:customStyle="1" w:styleId="125">
    <w:name w:val="书目1"/>
    <w:basedOn w:val="1"/>
    <w:next w:val="1"/>
    <w:semiHidden/>
    <w:unhideWhenUsed/>
    <w:qFormat/>
    <w:uiPriority w:val="37"/>
  </w:style>
  <w:style w:type="character" w:customStyle="1" w:styleId="126">
    <w:name w:val="Statement Body Char"/>
    <w:link w:val="124"/>
    <w:qFormat/>
    <w:uiPriority w:val="0"/>
    <w:rPr>
      <w:rFonts w:eastAsia="Times New Roman"/>
      <w:sz w:val="24"/>
      <w:szCs w:val="24"/>
      <w:lang w:eastAsia="ko-KR"/>
    </w:rPr>
  </w:style>
  <w:style w:type="character" w:customStyle="1" w:styleId="127">
    <w:name w:val="Caption Char"/>
    <w:link w:val="28"/>
    <w:qFormat/>
    <w:locked/>
    <w:uiPriority w:val="0"/>
    <w:rPr>
      <w:rFonts w:ascii="Times New Roman" w:hAnsi="Times New Roman"/>
      <w:b/>
      <w:bCs/>
      <w:lang w:val="en-GB" w:eastAsia="en-US"/>
    </w:rPr>
  </w:style>
  <w:style w:type="character" w:customStyle="1" w:styleId="128">
    <w:name w:val="PL Char"/>
    <w:link w:val="76"/>
    <w:qFormat/>
    <w:uiPriority w:val="0"/>
    <w:rPr>
      <w:rFonts w:ascii="Courier New" w:hAnsi="Courier New"/>
      <w:sz w:val="16"/>
      <w:lang w:val="en-US" w:eastAsia="en-US" w:bidi="ar-SA"/>
    </w:rPr>
  </w:style>
  <w:style w:type="character" w:customStyle="1" w:styleId="129">
    <w:name w:val="Header Char"/>
    <w:link w:val="37"/>
    <w:qFormat/>
    <w:locked/>
    <w:uiPriority w:val="99"/>
    <w:rPr>
      <w:rFonts w:ascii="Arial" w:hAnsi="Arial"/>
      <w:b/>
      <w:sz w:val="18"/>
      <w:lang w:val="en-US" w:eastAsia="en-US" w:bidi="ar-SA"/>
    </w:rPr>
  </w:style>
  <w:style w:type="paragraph" w:customStyle="1" w:styleId="130">
    <w:name w:val="equation"/>
    <w:basedOn w:val="1"/>
    <w:qFormat/>
    <w:uiPriority w:val="9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131">
    <w:name w:val="table col head"/>
    <w:basedOn w:val="1"/>
    <w:qFormat/>
    <w:uiPriority w:val="99"/>
    <w:pPr>
      <w:jc w:val="center"/>
    </w:pPr>
    <w:rPr>
      <w:b/>
      <w:bCs/>
      <w:sz w:val="16"/>
      <w:szCs w:val="16"/>
    </w:rPr>
  </w:style>
  <w:style w:type="paragraph" w:customStyle="1" w:styleId="132">
    <w:name w:val="table copy"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133">
    <w:name w:val="TAL Car"/>
    <w:link w:val="65"/>
    <w:qFormat/>
    <w:uiPriority w:val="0"/>
    <w:rPr>
      <w:rFonts w:ascii="Arial" w:hAnsi="Arial"/>
      <w:sz w:val="18"/>
      <w:lang w:val="en-GB"/>
    </w:rPr>
  </w:style>
  <w:style w:type="character" w:customStyle="1" w:styleId="134">
    <w:name w:val="TH Char"/>
    <w:link w:val="67"/>
    <w:qFormat/>
    <w:locked/>
    <w:uiPriority w:val="0"/>
    <w:rPr>
      <w:rFonts w:ascii="Arial" w:hAnsi="Arial"/>
      <w:b/>
      <w:lang w:val="en-GB"/>
    </w:rPr>
  </w:style>
  <w:style w:type="character" w:customStyle="1" w:styleId="135">
    <w:name w:val="B1 Char1"/>
    <w:link w:val="87"/>
    <w:qFormat/>
    <w:uiPriority w:val="0"/>
    <w:rPr>
      <w:rFonts w:ascii="Times New Roman" w:hAnsi="Times New Roman"/>
      <w:lang w:val="en-GB"/>
    </w:rPr>
  </w:style>
  <w:style w:type="paragraph" w:customStyle="1" w:styleId="136">
    <w:name w:val="Normal + small spacing + Bold"/>
    <w:basedOn w:val="1"/>
    <w:qFormat/>
    <w:uiPriority w:val="0"/>
    <w:pPr>
      <w:spacing w:before="40" w:after="40"/>
    </w:pPr>
    <w:rPr>
      <w:b/>
      <w:bCs/>
    </w:rPr>
  </w:style>
  <w:style w:type="paragraph" w:customStyle="1" w:styleId="137">
    <w:name w:val="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138">
    <w:name w:val="Body Text Char"/>
    <w:link w:val="32"/>
    <w:qFormat/>
    <w:uiPriority w:val="0"/>
    <w:rPr>
      <w:rFonts w:ascii="Times" w:hAnsi="Times"/>
      <w:szCs w:val="24"/>
    </w:rPr>
  </w:style>
  <w:style w:type="paragraph" w:customStyle="1" w:styleId="139">
    <w:name w:val="表格题注"/>
    <w:next w:val="1"/>
    <w:qFormat/>
    <w:uiPriority w:val="0"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0">
    <w:name w:val="插图题注"/>
    <w:next w:val="1"/>
    <w:qFormat/>
    <w:uiPriority w:val="0"/>
    <w:pPr>
      <w:numPr>
        <w:ilvl w:val="7"/>
        <w:numId w:val="3"/>
      </w:numPr>
      <w:spacing w:after="160" w:afterLines="100" w:line="259" w:lineRule="auto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1">
    <w:name w:val="Pa4"/>
    <w:basedOn w:val="1"/>
    <w:next w:val="1"/>
    <w:qFormat/>
    <w:uiPriority w:val="99"/>
    <w:pPr>
      <w:spacing w:line="173" w:lineRule="atLeast"/>
    </w:pPr>
    <w:rPr>
      <w:rFonts w:ascii="Swift" w:hAnsi="Swift"/>
    </w:rPr>
  </w:style>
  <w:style w:type="table" w:customStyle="1" w:styleId="142">
    <w:name w:val="일반 표 31"/>
    <w:basedOn w:val="4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43">
    <w:name w:val="목록 표 1 밝게 - 강조색 11"/>
    <w:basedOn w:val="4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44">
    <w:name w:val="눈금 표 4 - 강조색 51"/>
    <w:basedOn w:val="4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45">
    <w:name w:val="눈금 표 6 색상형 - 강조색 51"/>
    <w:basedOn w:val="4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paragraph" w:customStyle="1" w:styleId="146">
    <w:name w:val="RAN1 bullet2"/>
    <w:basedOn w:val="1"/>
    <w:link w:val="147"/>
    <w:qFormat/>
    <w:uiPriority w:val="0"/>
    <w:pPr>
      <w:numPr>
        <w:ilvl w:val="1"/>
        <w:numId w:val="4"/>
      </w:numPr>
    </w:pPr>
    <w:rPr>
      <w:rFonts w:ascii="Times" w:hAnsi="Times" w:eastAsia="Batang"/>
    </w:rPr>
  </w:style>
  <w:style w:type="character" w:customStyle="1" w:styleId="147">
    <w:name w:val="RAN1 bullet2 Char"/>
    <w:link w:val="146"/>
    <w:qFormat/>
    <w:uiPriority w:val="0"/>
    <w:rPr>
      <w:rFonts w:ascii="Times" w:hAnsi="Times" w:eastAsia="Batang"/>
      <w:sz w:val="24"/>
      <w:szCs w:val="24"/>
    </w:rPr>
  </w:style>
  <w:style w:type="table" w:customStyle="1" w:styleId="148">
    <w:name w:val="목록 표 3 - 강조색 51"/>
    <w:basedOn w:val="4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paragraph" w:customStyle="1" w:styleId="149">
    <w:name w:val="tdoc"/>
    <w:basedOn w:val="1"/>
    <w:link w:val="150"/>
    <w:qFormat/>
    <w:uiPriority w:val="0"/>
    <w:pPr>
      <w:ind w:left="1440" w:hanging="1440"/>
    </w:pPr>
    <w:rPr>
      <w:rFonts w:ascii="Times" w:hAnsi="Times" w:eastAsia="Batang"/>
    </w:rPr>
  </w:style>
  <w:style w:type="character" w:customStyle="1" w:styleId="150">
    <w:name w:val="tdoc Char"/>
    <w:link w:val="149"/>
    <w:qFormat/>
    <w:uiPriority w:val="0"/>
    <w:rPr>
      <w:rFonts w:ascii="Times" w:hAnsi="Times" w:eastAsia="Batang"/>
      <w:szCs w:val="24"/>
      <w:lang w:val="en-GB" w:eastAsia="en-US"/>
    </w:rPr>
  </w:style>
  <w:style w:type="paragraph" w:customStyle="1" w:styleId="151">
    <w:name w:val="bullet1"/>
    <w:basedOn w:val="95"/>
    <w:link w:val="154"/>
    <w:qFormat/>
    <w:uiPriority w:val="0"/>
    <w:pPr>
      <w:numPr>
        <w:ilvl w:val="0"/>
        <w:numId w:val="5"/>
      </w:numPr>
      <w:spacing w:after="0"/>
    </w:pPr>
    <w:rPr>
      <w:rFonts w:ascii="Calibri" w:hAnsi="Calibri"/>
    </w:rPr>
  </w:style>
  <w:style w:type="character" w:customStyle="1" w:styleId="152">
    <w:name w:val="text Char"/>
    <w:link w:val="95"/>
    <w:qFormat/>
    <w:uiPriority w:val="0"/>
    <w:rPr>
      <w:rFonts w:ascii="Times New Roman" w:hAnsi="Times New Roman"/>
      <w:sz w:val="24"/>
    </w:rPr>
  </w:style>
  <w:style w:type="paragraph" w:customStyle="1" w:styleId="153">
    <w:name w:val="bullet2"/>
    <w:basedOn w:val="95"/>
    <w:link w:val="156"/>
    <w:qFormat/>
    <w:uiPriority w:val="0"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154">
    <w:name w:val="bullet1 Char"/>
    <w:link w:val="151"/>
    <w:qFormat/>
    <w:uiPriority w:val="0"/>
    <w:rPr>
      <w:rFonts w:ascii="Calibri" w:hAnsi="Calibri" w:eastAsia="Times New Roman"/>
      <w:kern w:val="2"/>
      <w:sz w:val="24"/>
      <w:szCs w:val="24"/>
      <w:lang w:val="en-GB"/>
    </w:rPr>
  </w:style>
  <w:style w:type="paragraph" w:customStyle="1" w:styleId="155">
    <w:name w:val="bullet3"/>
    <w:basedOn w:val="95"/>
    <w:link w:val="159"/>
    <w:qFormat/>
    <w:uiPriority w:val="0"/>
    <w:pPr>
      <w:numPr>
        <w:ilvl w:val="2"/>
        <w:numId w:val="5"/>
      </w:numPr>
      <w:spacing w:after="0"/>
    </w:pPr>
    <w:rPr>
      <w:rFonts w:ascii="Times" w:hAnsi="Times" w:eastAsia="Batang"/>
    </w:rPr>
  </w:style>
  <w:style w:type="character" w:customStyle="1" w:styleId="156">
    <w:name w:val="bullet2 Char"/>
    <w:link w:val="153"/>
    <w:qFormat/>
    <w:uiPriority w:val="0"/>
    <w:rPr>
      <w:rFonts w:ascii="Times" w:hAnsi="Times" w:eastAsia="Times New Roman"/>
      <w:kern w:val="2"/>
      <w:sz w:val="24"/>
      <w:szCs w:val="24"/>
      <w:lang w:val="en-GB"/>
    </w:rPr>
  </w:style>
  <w:style w:type="paragraph" w:customStyle="1" w:styleId="157">
    <w:name w:val="bullet4"/>
    <w:basedOn w:val="95"/>
    <w:qFormat/>
    <w:uiPriority w:val="0"/>
    <w:pPr>
      <w:numPr>
        <w:ilvl w:val="3"/>
        <w:numId w:val="5"/>
      </w:numPr>
      <w:spacing w:after="0"/>
    </w:pPr>
    <w:rPr>
      <w:rFonts w:ascii="Times" w:hAnsi="Times" w:eastAsia="Batang"/>
    </w:rPr>
  </w:style>
  <w:style w:type="table" w:customStyle="1" w:styleId="158">
    <w:name w:val="일반 표 21"/>
    <w:basedOn w:val="4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159">
    <w:name w:val="bullet3 Char"/>
    <w:link w:val="155"/>
    <w:qFormat/>
    <w:uiPriority w:val="0"/>
    <w:rPr>
      <w:rFonts w:ascii="Times" w:hAnsi="Times" w:eastAsia="Batang"/>
      <w:szCs w:val="24"/>
      <w:lang w:val="en-GB" w:eastAsia="en-US"/>
    </w:rPr>
  </w:style>
  <w:style w:type="character" w:customStyle="1" w:styleId="160">
    <w:name w:val="TAH Car"/>
    <w:link w:val="63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61">
    <w:name w:val="tac"/>
    <w:basedOn w:val="1"/>
    <w:qFormat/>
    <w:uiPriority w:val="0"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162">
    <w:name w:val="th"/>
    <w:basedOn w:val="1"/>
    <w:qFormat/>
    <w:uiPriority w:val="0"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163">
    <w:name w:val="tah"/>
    <w:basedOn w:val="1"/>
    <w:qFormat/>
    <w:uiPriority w:val="0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64">
    <w:name w:val="References"/>
    <w:basedOn w:val="1"/>
    <w:qFormat/>
    <w:uiPriority w:val="0"/>
    <w:pPr>
      <w:numPr>
        <w:ilvl w:val="2"/>
        <w:numId w:val="6"/>
      </w:numPr>
    </w:pPr>
  </w:style>
  <w:style w:type="character" w:customStyle="1" w:styleId="165">
    <w:name w:val="B1 (文字)"/>
    <w:qFormat/>
    <w:uiPriority w:val="0"/>
    <w:rPr>
      <w:rFonts w:eastAsia="MS Mincho"/>
      <w:lang w:val="en-GB" w:eastAsia="en-US" w:bidi="ar-SA"/>
    </w:rPr>
  </w:style>
  <w:style w:type="character" w:customStyle="1" w:styleId="166">
    <w:name w:val="B2 Char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67">
    <w:name w:val="Proposal Char"/>
    <w:link w:val="168"/>
    <w:qFormat/>
    <w:uiPriority w:val="0"/>
    <w:rPr>
      <w:rFonts w:eastAsia="Times New Roman"/>
      <w:b/>
      <w:bCs/>
      <w:lang w:val="en-GB"/>
    </w:rPr>
  </w:style>
  <w:style w:type="paragraph" w:customStyle="1" w:styleId="168">
    <w:name w:val="Proposal"/>
    <w:basedOn w:val="1"/>
    <w:link w:val="167"/>
    <w:qFormat/>
    <w:uiPriority w:val="0"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169">
    <w:name w:val="List Paragraph Char"/>
    <w:link w:val="114"/>
    <w:qFormat/>
    <w:uiPriority w:val="34"/>
    <w:rPr>
      <w:rFonts w:ascii="Calibri" w:hAnsi="Calibri" w:eastAsia="Calibri"/>
      <w:sz w:val="22"/>
      <w:szCs w:val="22"/>
      <w:lang w:eastAsia="en-US"/>
    </w:rPr>
  </w:style>
  <w:style w:type="character" w:customStyle="1" w:styleId="170">
    <w:name w:val="TAC Char"/>
    <w:link w:val="64"/>
    <w:qFormat/>
    <w:uiPriority w:val="0"/>
    <w:rPr>
      <w:rFonts w:ascii="Arial" w:hAnsi="Arial"/>
      <w:sz w:val="18"/>
      <w:lang w:val="en-GB" w:eastAsia="en-US"/>
    </w:rPr>
  </w:style>
  <w:style w:type="paragraph" w:customStyle="1" w:styleId="171">
    <w:name w:val="N1"/>
    <w:basedOn w:val="1"/>
    <w:link w:val="172"/>
    <w:qFormat/>
    <w:uiPriority w:val="0"/>
    <w:pPr>
      <w:ind w:left="634"/>
    </w:pPr>
    <w:rPr>
      <w:rFonts w:cstheme="minorHAnsi"/>
      <w:lang w:bidi="hi-IN"/>
    </w:rPr>
  </w:style>
  <w:style w:type="character" w:customStyle="1" w:styleId="172">
    <w:name w:val="N1 Char"/>
    <w:basedOn w:val="52"/>
    <w:link w:val="171"/>
    <w:qFormat/>
    <w:uiPriority w:val="0"/>
    <w:rPr>
      <w:rFonts w:asciiTheme="minorHAnsi" w:hAnsiTheme="minorHAnsi" w:eastAsiaTheme="minorEastAsia" w:cstheme="minorHAnsi"/>
      <w:sz w:val="22"/>
      <w:szCs w:val="22"/>
      <w:lang w:eastAsia="ko-KR" w:bidi="hi-IN"/>
    </w:rPr>
  </w:style>
  <w:style w:type="character" w:customStyle="1" w:styleId="173">
    <w:name w:val="B1 Zchn"/>
    <w:qFormat/>
    <w:uiPriority w:val="0"/>
    <w:rPr>
      <w:lang w:eastAsia="en-US"/>
    </w:rPr>
  </w:style>
  <w:style w:type="paragraph" w:customStyle="1" w:styleId="174">
    <w:name w:val="LGTdoc_본문"/>
    <w:basedOn w:val="1"/>
    <w:link w:val="175"/>
    <w:qFormat/>
    <w:uiPriority w:val="0"/>
    <w:pPr>
      <w:snapToGrid w:val="0"/>
      <w:spacing w:afterLines="50" w:line="264" w:lineRule="auto"/>
    </w:pPr>
    <w:rPr>
      <w:rFonts w:eastAsia="Batang"/>
    </w:rPr>
  </w:style>
  <w:style w:type="character" w:customStyle="1" w:styleId="175">
    <w:name w:val="LGTdoc_본문 Char"/>
    <w:link w:val="174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table" w:customStyle="1" w:styleId="176">
    <w:name w:val="표 눈금 밝게1"/>
    <w:basedOn w:val="4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7">
    <w:name w:val="일반 표 11"/>
    <w:basedOn w:val="4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78">
    <w:name w:val="Table Grid1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">
    <w:name w:val="Table Grid2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">
    <w:name w:val="Table Grid21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">
    <w:name w:val="Table Grid3"/>
    <w:basedOn w:val="48"/>
    <w:qFormat/>
    <w:uiPriority w:val="39"/>
    <w:rPr>
      <w:rFonts w:ascii="Calibri" w:hAnsi="Calibri" w:eastAsia="Calibri"/>
      <w:sz w:val="22"/>
      <w:szCs w:val="22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2">
    <w:name w:val="bullet1 字符"/>
    <w:qFormat/>
    <w:uiPriority w:val="0"/>
    <w:rPr>
      <w:szCs w:val="24"/>
    </w:rPr>
  </w:style>
  <w:style w:type="character" w:customStyle="1" w:styleId="183">
    <w:name w:val="TAL Char"/>
    <w:qFormat/>
    <w:uiPriority w:val="0"/>
    <w:rPr>
      <w:rFonts w:ascii="Arial" w:hAnsi="Arial"/>
      <w:sz w:val="18"/>
      <w:lang w:eastAsia="en-US"/>
    </w:rPr>
  </w:style>
  <w:style w:type="paragraph" w:customStyle="1" w:styleId="184">
    <w:name w:val="0 Main text"/>
    <w:basedOn w:val="1"/>
    <w:link w:val="185"/>
    <w:qFormat/>
    <w:uiPriority w:val="0"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185">
    <w:name w:val="0 Main text Char"/>
    <w:basedOn w:val="52"/>
    <w:link w:val="184"/>
    <w:qFormat/>
    <w:uiPriority w:val="0"/>
    <w:rPr>
      <w:rFonts w:ascii="Times New Roman" w:hAnsi="Times New Roman" w:eastAsia="Malgun Gothic" w:cs="Batang"/>
      <w:lang w:val="en-GB" w:eastAsia="en-US"/>
    </w:rPr>
  </w:style>
  <w:style w:type="paragraph" w:customStyle="1" w:styleId="186">
    <w:name w:val="proposal"/>
    <w:basedOn w:val="32"/>
    <w:next w:val="1"/>
    <w:link w:val="187"/>
    <w:qFormat/>
    <w:uiPriority w:val="0"/>
    <w:pPr>
      <w:numPr>
        <w:ilvl w:val="0"/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187">
    <w:name w:val="proposal Char"/>
    <w:link w:val="186"/>
    <w:qFormat/>
    <w:uiPriority w:val="0"/>
    <w:rPr>
      <w:rFonts w:eastAsia="Times New Roman"/>
      <w:b/>
      <w:sz w:val="24"/>
    </w:rPr>
  </w:style>
  <w:style w:type="paragraph" w:customStyle="1" w:styleId="188">
    <w:name w:val="paragraph"/>
    <w:basedOn w:val="1"/>
    <w:qFormat/>
    <w:uiPriority w:val="0"/>
    <w:pPr>
      <w:spacing w:before="100" w:beforeAutospacing="1" w:after="100" w:afterAutospacing="1"/>
    </w:pPr>
    <w:rPr>
      <w:lang w:val="sv-SE"/>
    </w:rPr>
  </w:style>
  <w:style w:type="character" w:customStyle="1" w:styleId="189">
    <w:name w:val="normaltextrun"/>
    <w:basedOn w:val="52"/>
    <w:qFormat/>
    <w:uiPriority w:val="0"/>
  </w:style>
  <w:style w:type="character" w:customStyle="1" w:styleId="190">
    <w:name w:val="eop"/>
    <w:basedOn w:val="52"/>
    <w:qFormat/>
    <w:uiPriority w:val="0"/>
  </w:style>
  <w:style w:type="character" w:customStyle="1" w:styleId="191">
    <w:name w:val="contextualspellingandgrammarerror"/>
    <w:basedOn w:val="52"/>
    <w:qFormat/>
    <w:uiPriority w:val="0"/>
  </w:style>
  <w:style w:type="character" w:customStyle="1" w:styleId="192">
    <w:name w:val="spellingerror"/>
    <w:basedOn w:val="52"/>
    <w:qFormat/>
    <w:uiPriority w:val="0"/>
  </w:style>
  <w:style w:type="paragraph" w:customStyle="1" w:styleId="193">
    <w:name w:val="x_msonormal"/>
    <w:basedOn w:val="1"/>
    <w:qFormat/>
    <w:uiPriority w:val="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94">
    <w:name w:val="x_apple-converted-space"/>
    <w:basedOn w:val="52"/>
    <w:qFormat/>
    <w:uiPriority w:val="0"/>
  </w:style>
  <w:style w:type="paragraph" w:customStyle="1" w:styleId="195">
    <w:name w:val="enumlev2"/>
    <w:basedOn w:val="1"/>
    <w:qFormat/>
    <w:uiPriority w:val="0"/>
    <w:pPr>
      <w:numPr>
        <w:ilvl w:val="0"/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196">
    <w:name w:val="x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97">
    <w:name w:val="apple-converted-space"/>
    <w:basedOn w:val="52"/>
    <w:qFormat/>
    <w:uiPriority w:val="0"/>
  </w:style>
  <w:style w:type="paragraph" w:customStyle="1" w:styleId="198">
    <w:name w:val="xa0"/>
    <w:basedOn w:val="1"/>
    <w:qFormat/>
    <w:uiPriority w:val="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99">
    <w:name w:val="x_x_xx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00">
    <w:name w:val="x_x_xxxxmsonormal"/>
    <w:basedOn w:val="1"/>
    <w:qFormat/>
    <w:uiPriority w:val="99"/>
    <w:rPr>
      <w:rFonts w:ascii="Calibri" w:hAnsi="Calibri" w:cs="Calibri"/>
    </w:rPr>
  </w:style>
  <w:style w:type="character" w:customStyle="1" w:styleId="201">
    <w:name w:val="x_x_xxxapple-converted-space"/>
    <w:basedOn w:val="52"/>
    <w:qFormat/>
    <w:uiPriority w:val="0"/>
  </w:style>
  <w:style w:type="paragraph" w:customStyle="1" w:styleId="202">
    <w:name w:val="x_xmsonormal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03">
    <w:name w:val="x_xapple-converted-space"/>
    <w:basedOn w:val="52"/>
    <w:qFormat/>
    <w:uiPriority w:val="0"/>
  </w:style>
  <w:style w:type="paragraph" w:customStyle="1" w:styleId="204">
    <w:name w:val="x_xxa0"/>
    <w:basedOn w:val="1"/>
    <w:semiHidden/>
    <w:qFormat/>
    <w:uiPriority w:val="99"/>
    <w:rPr>
      <w:rFonts w:ascii="宋体" w:hAnsi="宋体" w:cs="宋体"/>
    </w:rPr>
  </w:style>
  <w:style w:type="paragraph" w:customStyle="1" w:styleId="205">
    <w:name w:val="x_x_xmsonormal"/>
    <w:basedOn w:val="1"/>
    <w:semiHidden/>
    <w:qFormat/>
    <w:uiPriority w:val="99"/>
    <w:rPr>
      <w:rFonts w:ascii="Calibri" w:hAnsi="Calibri" w:cs="Calibri"/>
    </w:rPr>
  </w:style>
  <w:style w:type="paragraph" w:customStyle="1" w:styleId="206">
    <w:name w:val="x_x_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7">
    <w:name w:val="x_x_xxapple-converted-space"/>
    <w:basedOn w:val="52"/>
    <w:qFormat/>
    <w:uiPriority w:val="0"/>
  </w:style>
  <w:style w:type="character" w:customStyle="1" w:styleId="208">
    <w:name w:val="x_x_apple-converted-space"/>
    <w:basedOn w:val="52"/>
    <w:qFormat/>
    <w:uiPriority w:val="0"/>
  </w:style>
  <w:style w:type="paragraph" w:customStyle="1" w:styleId="209">
    <w:name w:val="x_x_xxxxlistparagraph"/>
    <w:basedOn w:val="1"/>
    <w:qFormat/>
    <w:uiPriority w:val="0"/>
    <w:rPr>
      <w:rFonts w:ascii="Calibri" w:hAnsi="Calibri" w:cs="Calibri"/>
    </w:rPr>
  </w:style>
  <w:style w:type="character" w:customStyle="1" w:styleId="210">
    <w:name w:val="fontstyle01"/>
    <w:basedOn w:val="52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character" w:customStyle="1" w:styleId="211">
    <w:name w:val="fontstyle21"/>
    <w:basedOn w:val="52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paragraph" w:customStyle="1" w:styleId="212">
    <w:name w:val="xxmsonormal"/>
    <w:basedOn w:val="1"/>
    <w:qFormat/>
    <w:uiPriority w:val="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13">
    <w:name w:val="xxproposal"/>
    <w:basedOn w:val="1"/>
    <w:qFormat/>
    <w:uiPriority w:val="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14">
    <w:name w:val="3GPP_Header"/>
    <w:basedOn w:val="32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215">
    <w:name w:val="スタイル 見出し 4h4H4H41h41H42h42H43h43H411h411H421h421H44h..."/>
    <w:basedOn w:val="5"/>
    <w:qFormat/>
    <w:uiPriority w:val="0"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216">
    <w:name w:val="xxxxmsonorm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</w:rPr>
  </w:style>
  <w:style w:type="paragraph" w:customStyle="1" w:styleId="217">
    <w:name w:val="xxxmsonorm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</w:rPr>
  </w:style>
  <w:style w:type="paragraph" w:customStyle="1" w:styleId="218">
    <w:name w:val="xxxxpropos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</w:rPr>
  </w:style>
  <w:style w:type="paragraph" w:customStyle="1" w:styleId="219">
    <w:name w:val="xxxxxa0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</w:rPr>
  </w:style>
  <w:style w:type="character" w:customStyle="1" w:styleId="220">
    <w:name w:val="xxxxapple-converted-space"/>
    <w:qFormat/>
    <w:uiPriority w:val="0"/>
  </w:style>
  <w:style w:type="paragraph" w:customStyle="1" w:styleId="221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222">
    <w:name w:val="boldbullet1"/>
    <w:basedOn w:val="151"/>
    <w:link w:val="223"/>
    <w:qFormat/>
    <w:uiPriority w:val="0"/>
    <w:pPr>
      <w:numPr>
        <w:ilvl w:val="0"/>
        <w:numId w:val="0"/>
      </w:numPr>
      <w:spacing w:after="120"/>
    </w:pPr>
    <w:rPr>
      <w:rFonts w:ascii="Times New Roman" w:hAnsi="Times New Roman"/>
      <w:b/>
    </w:rPr>
  </w:style>
  <w:style w:type="character" w:customStyle="1" w:styleId="223">
    <w:name w:val="boldbullet1 字符"/>
    <w:basedOn w:val="182"/>
    <w:link w:val="222"/>
    <w:qFormat/>
    <w:uiPriority w:val="0"/>
    <w:rPr>
      <w:b/>
      <w:szCs w:val="24"/>
    </w:rPr>
  </w:style>
  <w:style w:type="character" w:customStyle="1" w:styleId="224">
    <w:name w:val="15"/>
    <w:basedOn w:val="52"/>
    <w:qFormat/>
    <w:uiPriority w:val="0"/>
    <w:rPr>
      <w:rFonts w:hint="default" w:ascii="Symbol" w:hAnsi="Symbol"/>
      <w:b/>
      <w:bCs/>
    </w:rPr>
  </w:style>
  <w:style w:type="character" w:customStyle="1" w:styleId="225">
    <w:name w:val="apple-tab-span"/>
    <w:basedOn w:val="52"/>
    <w:qFormat/>
    <w:uiPriority w:val="0"/>
  </w:style>
  <w:style w:type="paragraph" w:customStyle="1" w:styleId="226">
    <w:name w:val="x_listparagraph"/>
    <w:basedOn w:val="1"/>
    <w:qFormat/>
    <w:uiPriority w:val="0"/>
    <w:rPr>
      <w:rFonts w:ascii="Calibri" w:hAnsi="Calibri" w:cs="Calibri"/>
    </w:rPr>
  </w:style>
  <w:style w:type="paragraph" w:customStyle="1" w:styleId="227">
    <w:name w:val="x_msolistparagraph"/>
    <w:basedOn w:val="1"/>
    <w:qFormat/>
    <w:uiPriority w:val="0"/>
    <w:rPr>
      <w:rFonts w:ascii="Calibri" w:hAnsi="Calibri" w:cs="Calibri"/>
    </w:rPr>
  </w:style>
  <w:style w:type="character" w:customStyle="1" w:styleId="228">
    <w:name w:val="List Paragraph Char2"/>
    <w:qFormat/>
    <w:uiPriority w:val="34"/>
    <w:rPr>
      <w:rFonts w:ascii="Times" w:hAnsi="Times" w:eastAsia="Batang"/>
      <w:szCs w:val="24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Intel</Company>
  <Pages>9</Pages>
  <Words>2153</Words>
  <Characters>12274</Characters>
  <Lines>102</Lines>
  <Paragraphs>28</Paragraphs>
  <TotalTime>1</TotalTime>
  <ScaleCrop>false</ScaleCrop>
  <LinksUpToDate>false</LinksUpToDate>
  <CharactersWithSpaces>14399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2022-08-21T15:35:00Z</dcterms:created>
  <dc:creator>Intel</dc:creator>
  <cp:keywords>CTPClassification=CTP_IC:VisualMarkings=, CTPClassification=CTP_IC, CTPClassification=CTP_NT</cp:keywords>
  <cp:lastModifiedBy>ZTE</cp:lastModifiedBy>
  <cp:lastPrinted>2022-05-11T03:23:00Z</cp:lastPrinted>
  <dcterms:modified xsi:type="dcterms:W3CDTF">2022-08-21T16:43:41Z</dcterms:modified>
  <dc:title>3GPP TSG-RAN WG1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