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A7B7" w14:textId="11B1A2B2"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sidR="00D81937" w:rsidRPr="00D81937">
        <w:rPr>
          <w:b/>
          <w:sz w:val="24"/>
          <w:szCs w:val="22"/>
          <w:lang w:val="de-DE" w:eastAsia="ja-JP"/>
        </w:rPr>
        <w:t>R1-2207802</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818" w:hangingChars="823" w:hanging="1818"/>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818" w:hangingChars="823" w:hanging="1818"/>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818" w:hangingChars="823" w:hanging="1818"/>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Heading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 xml:space="preserve">In RAN#94-e meeting a work item on </w:t>
      </w:r>
      <w:proofErr w:type="spellStart"/>
      <w:r>
        <w:t>eDSS</w:t>
      </w:r>
      <w:proofErr w:type="spellEnd"/>
      <w:r>
        <w:t xml:space="preserve"> support was agreed for Rel-18 [1]. The objectives of the WID include enhancements to NR PDCCH reception as shown below:</w:t>
      </w:r>
    </w:p>
    <w:tbl>
      <w:tblPr>
        <w:tblStyle w:val="TableGrid"/>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Heading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 xml:space="preserve">The following are observations from the FL based on </w:t>
      </w:r>
      <w:proofErr w:type="spellStart"/>
      <w:r>
        <w:t>tdoc</w:t>
      </w:r>
      <w:proofErr w:type="spellEnd"/>
      <w:r>
        <w:t xml:space="preserve">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TableGrid"/>
        <w:tblW w:w="0" w:type="auto"/>
        <w:tblLook w:val="04A0" w:firstRow="1" w:lastRow="0" w:firstColumn="1" w:lastColumn="0" w:noHBand="0" w:noVBand="1"/>
      </w:tblPr>
      <w:tblGrid>
        <w:gridCol w:w="4503"/>
        <w:gridCol w:w="2024"/>
        <w:gridCol w:w="1504"/>
        <w:gridCol w:w="2129"/>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lastRenderedPageBreak/>
              <w:t>49, 51, 71, 73 (</w:t>
            </w:r>
            <w:proofErr w:type="spellStart"/>
            <w:r>
              <w:rPr>
                <w:rFonts w:cstheme="minorHAnsi"/>
                <w:iCs/>
                <w:sz w:val="18"/>
                <w:szCs w:val="18"/>
                <w:lang w:bidi="hi-IN"/>
              </w:rPr>
              <w:t>Mediatek</w:t>
            </w:r>
            <w:proofErr w:type="spellEnd"/>
            <w:r>
              <w:rPr>
                <w:rFonts w:cstheme="minorHAnsi"/>
                <w:iCs/>
                <w:sz w:val="18"/>
                <w:szCs w:val="18"/>
                <w:lang w:bidi="hi-IN"/>
              </w:rPr>
              <w:t>)</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w:t>
            </w:r>
            <w:proofErr w:type="spellStart"/>
            <w:r>
              <w:rPr>
                <w:rFonts w:cstheme="minorHAnsi"/>
                <w:iCs/>
                <w:sz w:val="18"/>
                <w:szCs w:val="18"/>
                <w:lang w:bidi="hi-IN"/>
              </w:rPr>
              <w:t>Spreadtrum</w:t>
            </w:r>
            <w:proofErr w:type="spellEnd"/>
            <w:r>
              <w:rPr>
                <w:rFonts w:cstheme="minorHAnsi"/>
                <w:iCs/>
                <w:sz w:val="18"/>
                <w:szCs w:val="18"/>
                <w:lang w:bidi="hi-IN"/>
              </w:rPr>
              <w:t>)</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w:t>
            </w:r>
            <w:proofErr w:type="spellStart"/>
            <w:r>
              <w:rPr>
                <w:rFonts w:cstheme="minorHAnsi"/>
                <w:iCs/>
                <w:sz w:val="18"/>
                <w:szCs w:val="18"/>
                <w:lang w:bidi="hi-IN"/>
              </w:rPr>
              <w:t>Mediatek</w:t>
            </w:r>
            <w:proofErr w:type="spellEnd"/>
            <w:r>
              <w:rPr>
                <w:rFonts w:cstheme="minorHAnsi"/>
                <w:iCs/>
                <w:sz w:val="18"/>
                <w:szCs w:val="18"/>
                <w:lang w:bidi="hi-IN"/>
              </w:rPr>
              <w:t>)</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w:t>
            </w:r>
            <w:proofErr w:type="spellStart"/>
            <w:r>
              <w:rPr>
                <w:rFonts w:cstheme="minorHAnsi"/>
                <w:iCs/>
                <w:sz w:val="18"/>
                <w:szCs w:val="18"/>
                <w:lang w:bidi="hi-IN"/>
              </w:rPr>
              <w:t>Mediatek</w:t>
            </w:r>
            <w:proofErr w:type="spellEnd"/>
            <w:r>
              <w:rPr>
                <w:rFonts w:cstheme="minorHAnsi"/>
                <w:iCs/>
                <w:sz w:val="18"/>
                <w:szCs w:val="18"/>
                <w:lang w:bidi="hi-IN"/>
              </w:rPr>
              <w:t>)</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w:t>
            </w:r>
            <w:proofErr w:type="spellStart"/>
            <w:r>
              <w:rPr>
                <w:rFonts w:cstheme="minorHAnsi"/>
                <w:iCs/>
                <w:sz w:val="18"/>
                <w:szCs w:val="18"/>
                <w:lang w:bidi="hi-IN"/>
              </w:rPr>
              <w:t>Mediatek</w:t>
            </w:r>
            <w:proofErr w:type="spellEnd"/>
            <w:r>
              <w:rPr>
                <w:rFonts w:cstheme="minorHAnsi"/>
                <w:iCs/>
                <w:sz w:val="18"/>
                <w:szCs w:val="18"/>
                <w:lang w:bidi="hi-IN"/>
              </w:rPr>
              <w:t>)</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w:t>
            </w:r>
            <w:proofErr w:type="spellStart"/>
            <w:r>
              <w:rPr>
                <w:rFonts w:cstheme="minorHAnsi"/>
                <w:iCs/>
                <w:sz w:val="18"/>
                <w:szCs w:val="18"/>
                <w:lang w:bidi="hi-IN"/>
              </w:rPr>
              <w:t>Mediatek</w:t>
            </w:r>
            <w:proofErr w:type="spellEnd"/>
            <w:r>
              <w:rPr>
                <w:rFonts w:cstheme="minorHAnsi"/>
                <w:iCs/>
                <w:sz w:val="18"/>
                <w:szCs w:val="18"/>
                <w:lang w:bidi="hi-IN"/>
              </w:rPr>
              <w:t>)</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w:t>
            </w:r>
            <w:proofErr w:type="spellStart"/>
            <w:r>
              <w:rPr>
                <w:rFonts w:cstheme="minorHAnsi"/>
                <w:iCs/>
                <w:sz w:val="18"/>
                <w:szCs w:val="18"/>
                <w:lang w:bidi="hi-IN"/>
              </w:rPr>
              <w:t>Mediatek</w:t>
            </w:r>
            <w:proofErr w:type="spellEnd"/>
            <w:r>
              <w:rPr>
                <w:rFonts w:cstheme="minorHAnsi"/>
                <w:iCs/>
                <w:sz w:val="18"/>
                <w:szCs w:val="18"/>
                <w:lang w:bidi="hi-IN"/>
              </w:rPr>
              <w:t>)</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w:t>
            </w:r>
            <w:proofErr w:type="spellStart"/>
            <w:r>
              <w:rPr>
                <w:rFonts w:cstheme="minorHAnsi"/>
                <w:color w:val="000000" w:themeColor="text1"/>
                <w:kern w:val="24"/>
                <w:sz w:val="18"/>
                <w:szCs w:val="18"/>
              </w:rPr>
              <w:t>Mediatek</w:t>
            </w:r>
            <w:proofErr w:type="spellEnd"/>
            <w:r>
              <w:rPr>
                <w:rFonts w:cstheme="minorHAnsi"/>
                <w:color w:val="000000" w:themeColor="text1"/>
                <w:kern w:val="24"/>
                <w:sz w:val="18"/>
                <w:szCs w:val="18"/>
              </w:rPr>
              <w:t>)</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ListParagraph"/>
        <w:numPr>
          <w:ilvl w:val="0"/>
          <w:numId w:val="10"/>
        </w:numPr>
      </w:pPr>
      <w:r>
        <w:t xml:space="preserve">worse outage performance than baseline observed for options 1-1, and 2 (gNB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ListParagraph"/>
        <w:numPr>
          <w:ilvl w:val="0"/>
          <w:numId w:val="10"/>
        </w:numPr>
        <w:spacing w:before="120"/>
        <w:rPr>
          <w:iCs/>
          <w:lang w:bidi="hi-IN"/>
        </w:rPr>
      </w:pPr>
      <w:r>
        <w:rPr>
          <w:iCs/>
          <w:lang w:bidi="hi-IN"/>
        </w:rPr>
        <w:lastRenderedPageBreak/>
        <w:t xml:space="preserve">degradation of LTE throughput due to Option 2 superposition </w:t>
      </w:r>
    </w:p>
    <w:p w14:paraId="7D806DC9" w14:textId="77777777" w:rsidR="00E51666" w:rsidRDefault="0099225A">
      <w:pPr>
        <w:pStyle w:val="ListParagraph"/>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ListParagraph"/>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ListParagraph"/>
        <w:numPr>
          <w:ilvl w:val="0"/>
          <w:numId w:val="10"/>
        </w:numPr>
        <w:spacing w:before="120"/>
        <w:rPr>
          <w:iCs/>
          <w:lang w:bidi="hi-IN"/>
        </w:rPr>
      </w:pPr>
      <w:r>
        <w:rPr>
          <w:iCs/>
          <w:lang w:bidi="hi-IN"/>
        </w:rPr>
        <w:t>TDM/FDM of CORESET with legacy</w:t>
      </w:r>
    </w:p>
    <w:p w14:paraId="716E8AB2" w14:textId="77777777" w:rsidR="00E51666" w:rsidRDefault="0099225A">
      <w:pPr>
        <w:pStyle w:val="ListParagraph"/>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ListParagraph"/>
        <w:numPr>
          <w:ilvl w:val="0"/>
          <w:numId w:val="10"/>
        </w:numPr>
        <w:spacing w:before="120"/>
        <w:rPr>
          <w:iCs/>
          <w:lang w:bidi="hi-IN"/>
        </w:rPr>
      </w:pPr>
      <w:r>
        <w:rPr>
          <w:iCs/>
          <w:lang w:bidi="hi-IN"/>
        </w:rPr>
        <w:t>new rate-matching for Option 1-2</w:t>
      </w:r>
    </w:p>
    <w:p w14:paraId="4B09F3F4" w14:textId="77777777" w:rsidR="00E51666" w:rsidRDefault="0099225A">
      <w:pPr>
        <w:pStyle w:val="ListParagraph"/>
        <w:numPr>
          <w:ilvl w:val="0"/>
          <w:numId w:val="10"/>
        </w:numPr>
        <w:spacing w:before="120"/>
        <w:rPr>
          <w:iCs/>
          <w:lang w:bidi="hi-IN"/>
        </w:rPr>
      </w:pPr>
      <w:r>
        <w:rPr>
          <w:iCs/>
          <w:lang w:bidi="hi-IN"/>
        </w:rPr>
        <w:t>Option 1-2 is out of WI scope</w:t>
      </w:r>
    </w:p>
    <w:p w14:paraId="57E0B17A" w14:textId="77777777" w:rsidR="00E51666" w:rsidRDefault="0099225A">
      <w:pPr>
        <w:pStyle w:val="ListParagraph"/>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ListParagraph"/>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ListParagraph"/>
        <w:numPr>
          <w:ilvl w:val="0"/>
          <w:numId w:val="10"/>
        </w:numPr>
        <w:spacing w:before="120"/>
        <w:rPr>
          <w:iCs/>
          <w:lang w:bidi="hi-IN"/>
        </w:rPr>
      </w:pPr>
      <w:r>
        <w:rPr>
          <w:iCs/>
          <w:lang w:bidi="hi-IN"/>
        </w:rPr>
        <w:t>fragmentation of UE capabilities</w:t>
      </w:r>
    </w:p>
    <w:p w14:paraId="2499CB01" w14:textId="77777777" w:rsidR="00E51666" w:rsidRDefault="0099225A">
      <w:pPr>
        <w:pStyle w:val="ListParagraph"/>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ListParagraph"/>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ListParagraph"/>
        <w:numPr>
          <w:ilvl w:val="0"/>
          <w:numId w:val="10"/>
        </w:numPr>
        <w:spacing w:before="120"/>
        <w:rPr>
          <w:b/>
          <w:bCs/>
          <w:iCs/>
          <w:u w:val="single"/>
          <w:lang w:bidi="hi-IN"/>
        </w:rPr>
      </w:pPr>
      <w:r>
        <w:rPr>
          <w:iCs/>
          <w:lang w:bidi="hi-IN"/>
        </w:rPr>
        <w:t>RAN</w:t>
      </w:r>
      <w:proofErr w:type="gramStart"/>
      <w:r>
        <w:rPr>
          <w:iCs/>
          <w:lang w:bidi="hi-IN"/>
        </w:rPr>
        <w:t>4  -</w:t>
      </w:r>
      <w:proofErr w:type="gramEnd"/>
      <w:r>
        <w:rPr>
          <w:iCs/>
          <w:lang w:bidi="hi-IN"/>
        </w:rPr>
        <w:t xml:space="preserve">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ListParagraph"/>
        <w:numPr>
          <w:ilvl w:val="0"/>
          <w:numId w:val="10"/>
        </w:numPr>
        <w:spacing w:before="120"/>
        <w:rPr>
          <w:iCs/>
          <w:lang w:bidi="hi-IN"/>
        </w:rPr>
      </w:pPr>
      <w:r>
        <w:rPr>
          <w:iCs/>
          <w:lang w:bidi="hi-IN"/>
        </w:rPr>
        <w:t>FG 3-2, FG 3-5, or FG 22-12</w:t>
      </w:r>
    </w:p>
    <w:p w14:paraId="1FBF05BD" w14:textId="77777777" w:rsidR="00E51666" w:rsidRDefault="0099225A">
      <w:pPr>
        <w:pStyle w:val="ListParagraph"/>
        <w:numPr>
          <w:ilvl w:val="0"/>
          <w:numId w:val="10"/>
        </w:numPr>
        <w:spacing w:before="120"/>
        <w:rPr>
          <w:iCs/>
          <w:lang w:bidi="hi-IN"/>
        </w:rPr>
      </w:pPr>
      <w:r>
        <w:rPr>
          <w:iCs/>
          <w:lang w:bidi="hi-IN"/>
        </w:rPr>
        <w:t xml:space="preserve">Rel-17 </w:t>
      </w:r>
      <w:proofErr w:type="spellStart"/>
      <w:r>
        <w:rPr>
          <w:iCs/>
          <w:lang w:bidi="hi-IN"/>
        </w:rPr>
        <w:t>SCell</w:t>
      </w:r>
      <w:proofErr w:type="spellEnd"/>
      <w:r>
        <w:rPr>
          <w:iCs/>
          <w:lang w:bidi="hi-IN"/>
        </w:rPr>
        <w:t xml:space="preserve"> PDCCH scheduling </w:t>
      </w:r>
      <w:proofErr w:type="spellStart"/>
      <w:r>
        <w:rPr>
          <w:iCs/>
          <w:lang w:bidi="hi-IN"/>
        </w:rPr>
        <w:t>PCell</w:t>
      </w:r>
      <w:proofErr w:type="spellEnd"/>
      <w:r>
        <w:rPr>
          <w:iCs/>
          <w:lang w:bidi="hi-IN"/>
        </w:rPr>
        <w:t xml:space="preserve">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ListParagraph"/>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ListParagraph"/>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ListParagraph"/>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ListParagraph"/>
        <w:spacing w:before="120"/>
        <w:ind w:left="735"/>
        <w:rPr>
          <w:iCs/>
          <w:lang w:bidi="hi-IN"/>
        </w:rPr>
      </w:pPr>
    </w:p>
    <w:p w14:paraId="29265A39" w14:textId="77777777" w:rsidR="00E51666" w:rsidRDefault="0099225A">
      <w:pPr>
        <w:pStyle w:val="Heading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Heading2"/>
        <w:numPr>
          <w:ilvl w:val="1"/>
          <w:numId w:val="9"/>
        </w:numPr>
        <w:ind w:left="360" w:hanging="360"/>
        <w:rPr>
          <w:lang w:val="en-US"/>
        </w:rPr>
      </w:pPr>
      <w:r>
        <w:rPr>
          <w:lang w:val="en-US"/>
        </w:rPr>
        <w:lastRenderedPageBreak/>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Legacy</w:t>
      </w:r>
    </w:p>
    <w:p w14:paraId="7F3EA72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21A0BC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DengXian" w:hAnsiTheme="minorHAnsi" w:cstheme="minorHAnsi"/>
          <w:color w:val="000000"/>
        </w:rPr>
        <w:t>or legacy pattern is assumed</w:t>
      </w:r>
    </w:p>
    <w:p w14:paraId="2E7A8829"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gNB transmits: Irrelevant what the gNB transmits on REs overlapping with the LTE CRS REs as indicated in the CRS RM pattern. </w:t>
      </w:r>
    </w:p>
    <w:p w14:paraId="2DC65B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operate on clean symbol DMRS only, Legacy</w:t>
      </w:r>
    </w:p>
    <w:p w14:paraId="2DBF3EB9" w14:textId="77777777" w:rsidR="00E51666" w:rsidRDefault="00E51666">
      <w:pPr>
        <w:pStyle w:val="ListParagraph"/>
        <w:ind w:left="420"/>
        <w:contextualSpacing/>
        <w:rPr>
          <w:rFonts w:ascii="Times New Roman" w:eastAsia="DengXian" w:hAnsi="Times New Roman"/>
          <w:color w:val="000000"/>
        </w:rPr>
      </w:pPr>
    </w:p>
    <w:p w14:paraId="1CD60857" w14:textId="77777777" w:rsidR="00E51666" w:rsidRDefault="0099225A">
      <w:pPr>
        <w:pStyle w:val="ListParagraph"/>
        <w:ind w:left="0"/>
        <w:contextualSpacing/>
        <w:rPr>
          <w:rFonts w:asciiTheme="minorHAnsi" w:eastAsia="DengXian" w:hAnsiTheme="minorHAnsi" w:cstheme="minorHAnsi"/>
        </w:rPr>
      </w:pPr>
      <w:r>
        <w:rPr>
          <w:rFonts w:ascii="Times New Roman" w:eastAsia="DengXian" w:hAnsi="Times New Roman"/>
          <w:b/>
          <w:bCs/>
        </w:rPr>
        <w:t>Option 1-2</w:t>
      </w:r>
      <w:r>
        <w:rPr>
          <w:rFonts w:ascii="Times New Roman" w:eastAsia="DengXian"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ListParagraph"/>
        <w:numPr>
          <w:ilvl w:val="0"/>
          <w:numId w:val="11"/>
        </w:numPr>
        <w:contextualSpacing/>
        <w:rPr>
          <w:rFonts w:asciiTheme="minorHAnsi" w:eastAsia="DengXian" w:hAnsiTheme="minorHAnsi" w:cstheme="minorHAnsi"/>
          <w:color w:val="000000"/>
        </w:rPr>
      </w:pPr>
      <w:r>
        <w:rPr>
          <w:rFonts w:asciiTheme="minorHAnsi" w:eastAsia="DengXian" w:hAnsiTheme="minorHAnsi" w:cstheme="minorHAnsi"/>
          <w:color w:val="000000"/>
        </w:rPr>
        <w:t>PDCCH and PDCCH DMRS mapping to REs: New PDCCH rate-matching</w:t>
      </w:r>
    </w:p>
    <w:p w14:paraId="6709D5AD" w14:textId="77777777" w:rsidR="00E51666" w:rsidRDefault="0099225A">
      <w:pPr>
        <w:pStyle w:val="ListParagraph"/>
        <w:numPr>
          <w:ilvl w:val="1"/>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 xml:space="preserve">No PDCCH DMRS on the symbol overlapping with LTE CRS </w:t>
      </w:r>
    </w:p>
    <w:p w14:paraId="7F573B9D"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REs overlapping with LTE CRS: Receiver punctures</w:t>
      </w:r>
    </w:p>
    <w:p w14:paraId="5096FA35"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PDCCH DMRS REs overlapping with LTE CRS: Not expected</w:t>
      </w:r>
    </w:p>
    <w:p w14:paraId="4B09ACFA"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Channel estimator (UE assumption): Operate on clean symbol DMRS only</w:t>
      </w:r>
    </w:p>
    <w:p w14:paraId="4D3DD7F9" w14:textId="77777777" w:rsidR="00E51666" w:rsidRDefault="0099225A">
      <w:pPr>
        <w:pStyle w:val="ListParagraph"/>
        <w:numPr>
          <w:ilvl w:val="0"/>
          <w:numId w:val="12"/>
        </w:numPr>
        <w:contextualSpacing/>
        <w:rPr>
          <w:rFonts w:asciiTheme="minorHAnsi" w:eastAsia="DengXian" w:hAnsiTheme="minorHAnsi" w:cstheme="minorHAnsi"/>
          <w:color w:val="000000"/>
        </w:rPr>
      </w:pPr>
      <w:r>
        <w:rPr>
          <w:rFonts w:asciiTheme="minorHAnsi" w:eastAsia="DengXian" w:hAnsiTheme="minorHAnsi" w:cstheme="minorHAnsi"/>
          <w:color w:val="000000"/>
        </w:rPr>
        <w:t>gNB transmits: Irrelevant what the gNB transmits on REs overlapping with the LTE CRS REs as indicated in the CRS RM pattern</w:t>
      </w:r>
    </w:p>
    <w:p w14:paraId="58934D89" w14:textId="77777777" w:rsidR="00E51666" w:rsidRDefault="00E51666">
      <w:pPr>
        <w:rPr>
          <w:rFonts w:ascii="Times New Roman" w:hAnsi="Times New Roman"/>
        </w:rPr>
      </w:pPr>
    </w:p>
    <w:p w14:paraId="2612780F" w14:textId="77777777" w:rsidR="00E51666" w:rsidRDefault="0099225A">
      <w:pPr>
        <w:pStyle w:val="ListParagraph"/>
        <w:ind w:left="0"/>
        <w:contextualSpacing/>
        <w:rPr>
          <w:rFonts w:asciiTheme="minorHAnsi" w:eastAsia="DengXian" w:hAnsiTheme="minorHAnsi" w:cstheme="minorHAnsi"/>
          <w:b/>
          <w:bCs/>
        </w:rPr>
      </w:pPr>
      <w:r>
        <w:rPr>
          <w:rFonts w:ascii="Times New Roman" w:eastAsia="DengXian"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and PDCCH DMRS mapping to REs: Legacy</w:t>
      </w:r>
    </w:p>
    <w:p w14:paraId="379F6C6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 xml:space="preserve">PDCCH REs overlapping with LTE CRS: Baseline: Process as legacy </w:t>
      </w:r>
    </w:p>
    <w:p w14:paraId="7A0E0055"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PDCCH DMRS REs overlapping with LTE CRS: Aware or unaware</w:t>
      </w:r>
    </w:p>
    <w:p w14:paraId="062FAC14"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ListParagraph"/>
        <w:numPr>
          <w:ilvl w:val="0"/>
          <w:numId w:val="12"/>
        </w:numPr>
        <w:contextualSpacing/>
        <w:rPr>
          <w:rFonts w:asciiTheme="minorHAnsi" w:eastAsia="DengXian" w:hAnsiTheme="minorHAnsi" w:cstheme="minorHAnsi"/>
        </w:rPr>
      </w:pPr>
      <w:r>
        <w:rPr>
          <w:rFonts w:asciiTheme="minorHAnsi" w:eastAsia="DengXian" w:hAnsiTheme="minorHAnsi" w:cstheme="minorHAnsi"/>
        </w:rPr>
        <w:t xml:space="preserve">gNB transmits: </w:t>
      </w:r>
    </w:p>
    <w:p w14:paraId="23239E2F"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Baseline: May puncture the PDCCH/PDCCH DMRS, or may superposition the two. </w:t>
      </w:r>
    </w:p>
    <w:p w14:paraId="28783722"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 xml:space="preserve">Optional: may puncture LTE CRS of Port#2&amp;3. </w:t>
      </w:r>
    </w:p>
    <w:p w14:paraId="26E7E6D3" w14:textId="77777777" w:rsidR="00E51666" w:rsidRDefault="0099225A">
      <w:pPr>
        <w:pStyle w:val="ListParagraph"/>
        <w:numPr>
          <w:ilvl w:val="1"/>
          <w:numId w:val="12"/>
        </w:numPr>
        <w:contextualSpacing/>
        <w:rPr>
          <w:rFonts w:asciiTheme="minorHAnsi" w:eastAsia="DengXian" w:hAnsiTheme="minorHAnsi" w:cstheme="minorHAnsi"/>
        </w:rPr>
      </w:pPr>
      <w:r>
        <w:rPr>
          <w:rFonts w:asciiTheme="minorHAnsi" w:eastAsia="DengXian"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TableGrid"/>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lastRenderedPageBreak/>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w:t>
            </w:r>
            <w:proofErr w:type="spellStart"/>
            <w:r>
              <w:rPr>
                <w:rFonts w:ascii="Times New Roman" w:hAnsi="Times New Roman" w:cs="Times New Roman"/>
              </w:rPr>
              <w:t>Hisi</w:t>
            </w:r>
            <w:proofErr w:type="spellEnd"/>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 xml:space="preserve">As summarized by moderator, </w:t>
            </w:r>
            <w:proofErr w:type="gramStart"/>
            <w:r>
              <w:rPr>
                <w:rFonts w:ascii="Times New Roman" w:hAnsi="Times New Roman" w:cs="Times New Roman"/>
              </w:rPr>
              <w:t>a number of</w:t>
            </w:r>
            <w:proofErr w:type="gramEnd"/>
            <w:r>
              <w:rPr>
                <w:rFonts w:ascii="Times New Roman" w:hAnsi="Times New Roman" w:cs="Times New Roman"/>
              </w:rPr>
              <w:t xml:space="preserve"> concerns are received over all the 3 options. From our observations:</w:t>
            </w:r>
          </w:p>
          <w:p w14:paraId="6E2622FF"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capacity gains are somewhat overestimated. </w:t>
            </w:r>
          </w:p>
          <w:p w14:paraId="48197378"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14:paraId="0E75A235" w14:textId="77777777" w:rsidR="00E51666" w:rsidRDefault="0099225A">
            <w:pPr>
              <w:pStyle w:val="ListParagraph"/>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xml:space="preserve">ased on the analysis above, </w:t>
            </w:r>
            <w:proofErr w:type="gramStart"/>
            <w:r>
              <w:rPr>
                <w:rFonts w:ascii="Times New Roman" w:hAnsi="Times New Roman" w:cs="Times New Roman"/>
              </w:rPr>
              <w:t>at the moment</w:t>
            </w:r>
            <w:proofErr w:type="gramEnd"/>
            <w:r>
              <w:rPr>
                <w:rFonts w:ascii="Times New Roman" w:hAnsi="Times New Roman" w:cs="Times New Roman"/>
              </w:rPr>
              <w:t xml:space="preserve">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rPr>
            </w:pPr>
            <w:r>
              <w:rPr>
                <w:rFonts w:ascii="Times New Roman" w:hAnsi="Times New Roman" w:cs="Times New Roman"/>
              </w:rPr>
              <w:t>ZTE</w:t>
            </w:r>
          </w:p>
        </w:tc>
        <w:tc>
          <w:tcPr>
            <w:tcW w:w="8275" w:type="dxa"/>
          </w:tcPr>
          <w:p w14:paraId="0B4A1C37" w14:textId="77777777" w:rsidR="00E51666" w:rsidRDefault="0099225A">
            <w:pPr>
              <w:rPr>
                <w:rFonts w:ascii="Times New Roman" w:hAnsi="Times New Roman" w:cs="Times New Roman"/>
              </w:rPr>
            </w:pPr>
            <w:r>
              <w:rPr>
                <w:rFonts w:ascii="Times New Roman" w:hAnsi="Times New Roman" w:cs="Times New Roman" w:hint="eastAsia"/>
              </w:rPr>
              <w:t xml:space="preserve">We observe clear performance gain by the options and ok to down-select one of them. Our detailed views on each </w:t>
            </w:r>
            <w:proofErr w:type="gramStart"/>
            <w:r>
              <w:rPr>
                <w:rFonts w:ascii="Times New Roman" w:hAnsi="Times New Roman" w:cs="Times New Roman" w:hint="eastAsia"/>
              </w:rPr>
              <w:t>options</w:t>
            </w:r>
            <w:proofErr w:type="gramEnd"/>
            <w:r>
              <w:rPr>
                <w:rFonts w:ascii="Times New Roman" w:hAnsi="Times New Roman" w:cs="Times New Roman" w:hint="eastAsia"/>
              </w:rPr>
              <w:t xml:space="preserve"> are provided below. </w:t>
            </w:r>
          </w:p>
          <w:p w14:paraId="352924E0" w14:textId="77777777" w:rsidR="00E51666" w:rsidRDefault="0099225A">
            <w:pPr>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rPr>
            </w:pPr>
            <w:r>
              <w:rPr>
                <w:rFonts w:ascii="Times New Roman" w:hAnsi="Times New Roman" w:cs="Times New Roman"/>
                <w:noProof/>
              </w:rPr>
              <w:lastRenderedPageBreak/>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rPr>
            </w:pPr>
            <w:r>
              <w:rPr>
                <w:rFonts w:ascii="Times New Roman" w:hAnsi="Times New Roman" w:cs="Times New Roman"/>
              </w:rPr>
              <w:t xml:space="preserve">Considering both the performance gain and complexity, we are ok </w:t>
            </w:r>
            <w:r>
              <w:rPr>
                <w:rFonts w:ascii="Times New Roman" w:hAnsi="Times New Roman" w:cs="Times New Roman" w:hint="eastAsia"/>
              </w:rPr>
              <w:t xml:space="preserve">with </w:t>
            </w:r>
            <w:r>
              <w:rPr>
                <w:rFonts w:ascii="Times New Roman" w:hAnsi="Times New Roman" w:cs="Times New Roman"/>
              </w:rPr>
              <w:t xml:space="preserve">either Option 1-1 or Option 2 with advanced receiver. </w:t>
            </w:r>
          </w:p>
          <w:p w14:paraId="3D54CEE9" w14:textId="77777777" w:rsidR="00E51666" w:rsidRDefault="0099225A">
            <w:pPr>
              <w:rPr>
                <w:rFonts w:ascii="Times New Roman" w:hAnsi="Times New Roman" w:cs="Times New Roman"/>
              </w:rPr>
            </w:pPr>
            <w:r>
              <w:rPr>
                <w:rFonts w:ascii="Times New Roman" w:hAnsi="Times New Roman" w:cs="Times New Roma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rPr>
              <w:t>New rate-matching for Option 1-</w:t>
            </w:r>
            <w:proofErr w:type="gramStart"/>
            <w:r>
              <w:rPr>
                <w:rFonts w:ascii="Times New Roman" w:hAnsi="Times New Roman" w:cs="Times New Roman"/>
              </w:rPr>
              <w:t>2,  which</w:t>
            </w:r>
            <w:proofErr w:type="gramEnd"/>
            <w:r>
              <w:rPr>
                <w:rFonts w:ascii="Times New Roman" w:hAnsi="Times New Roman" w:cs="Times New Roman"/>
              </w:rPr>
              <w:t xml:space="preserve">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rPr>
              <w:t>Large spec impacts</w:t>
            </w:r>
          </w:p>
          <w:p w14:paraId="27917C60" w14:textId="77777777" w:rsidR="00E51666" w:rsidRDefault="0099225A">
            <w:pPr>
              <w:numPr>
                <w:ilvl w:val="0"/>
                <w:numId w:val="14"/>
              </w:numPr>
              <w:rPr>
                <w:rFonts w:ascii="Times New Roman" w:hAnsi="Times New Roman" w:cs="Times New Roman"/>
              </w:rPr>
            </w:pPr>
            <w:r>
              <w:rPr>
                <w:rFonts w:ascii="Times New Roman" w:hAnsi="Times New Roman" w:cs="Times New Roman"/>
              </w:rPr>
              <w:t>Option 1-2 is out of WI scope.</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lastRenderedPageBreak/>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w:t>
            </w:r>
            <w:proofErr w:type="gramStart"/>
            <w:r w:rsidRPr="00695BF8">
              <w:rPr>
                <w:rFonts w:ascii="Times New Roman" w:eastAsia="MS Mincho" w:hAnsi="Times New Roman" w:cs="Times New Roman"/>
              </w:rPr>
              <w:t>takes into account</w:t>
            </w:r>
            <w:proofErr w:type="gramEnd"/>
            <w:r w:rsidRPr="00695BF8">
              <w:rPr>
                <w:rFonts w:ascii="Times New Roman" w:eastAsia="MS Mincho" w:hAnsi="Times New Roman" w:cs="Times New Roman"/>
              </w:rPr>
              <w:t xml:space="preserve">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w:t>
            </w:r>
            <w:proofErr w:type="spellStart"/>
            <w:r w:rsidRPr="00695BF8">
              <w:rPr>
                <w:rFonts w:ascii="Times New Roman" w:eastAsia="MS Mincho" w:hAnsi="Times New Roman" w:cs="Times New Roman"/>
              </w:rPr>
              <w:t>etc</w:t>
            </w:r>
            <w:proofErr w:type="spellEnd"/>
            <w:r w:rsidRPr="00695BF8">
              <w:rPr>
                <w:rFonts w:ascii="Times New Roman" w:eastAsia="MS Mincho" w:hAnsi="Times New Roman" w:cs="Times New Roman"/>
              </w:rPr>
              <w:t xml:space="preserve">).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w:t>
            </w:r>
            <w:proofErr w:type="gramStart"/>
            <w:r w:rsidR="00D87CC3">
              <w:rPr>
                <w:rFonts w:ascii="Times New Roman" w:eastAsia="MS Mincho" w:hAnsi="Times New Roman" w:cs="Times New Roman"/>
              </w:rPr>
              <w:t>all of</w:t>
            </w:r>
            <w:proofErr w:type="gramEnd"/>
            <w:r w:rsidR="00D87CC3">
              <w:rPr>
                <w:rFonts w:ascii="Times New Roman" w:eastAsia="MS Mincho" w:hAnsi="Times New Roman" w:cs="Times New Roman"/>
              </w:rPr>
              <w:t xml:space="preserve">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 xml:space="preserve">Option 1-2 has larger specification impacts than the others. Note that we </w:t>
            </w:r>
            <w:proofErr w:type="gramStart"/>
            <w:r>
              <w:rPr>
                <w:rFonts w:ascii="Times New Roman" w:eastAsia="MS Mincho" w:hAnsi="Times New Roman" w:cs="Times New Roman"/>
              </w:rPr>
              <w:t>have to</w:t>
            </w:r>
            <w:proofErr w:type="gramEnd"/>
            <w:r>
              <w:rPr>
                <w:rFonts w:ascii="Times New Roman" w:eastAsia="MS Mincho" w:hAnsi="Times New Roman" w:cs="Times New Roman"/>
              </w:rPr>
              <w:t xml:space="preserve">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If we need to discuss which ones are in/out of 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w:t>
            </w:r>
            <w:proofErr w:type="spellStart"/>
            <w:r>
              <w:t>Tdocs</w:t>
            </w:r>
            <w:proofErr w:type="spellEnd"/>
            <w:r>
              <w:t xml:space="preserve">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w:t>
            </w:r>
            <w:proofErr w:type="spellStart"/>
            <w:r>
              <w:t>Scell</w:t>
            </w:r>
            <w:proofErr w:type="spellEnd"/>
            <w:r>
              <w:t xml:space="preserve">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w:t>
            </w:r>
            <w:proofErr w:type="gramStart"/>
            <w:r w:rsidR="00644344">
              <w:t>an</w:t>
            </w:r>
            <w:proofErr w:type="gramEnd"/>
            <w:r w:rsidR="00644344">
              <w:t xml:space="preserve">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w:t>
            </w:r>
            <w:proofErr w:type="spellStart"/>
            <w:r>
              <w:t>Mediatek’s</w:t>
            </w:r>
            <w:proofErr w:type="spellEnd"/>
            <w:r>
              <w:t xml:space="preserve"> view is to not support any puncturing based on our analysis.</w:t>
            </w:r>
          </w:p>
        </w:tc>
      </w:tr>
      <w:tr w:rsidR="00695BF8" w14:paraId="575B1628" w14:textId="77777777">
        <w:tc>
          <w:tcPr>
            <w:tcW w:w="1885" w:type="dxa"/>
          </w:tcPr>
          <w:p w14:paraId="434F85FE" w14:textId="77777777" w:rsidR="00695BF8" w:rsidRPr="009255F6" w:rsidRDefault="009255F6" w:rsidP="00695BF8">
            <w:pPr>
              <w:rPr>
                <w:rFonts w:ascii="Times New Roman" w:hAnsi="Times New Roman" w:cs="Times New Roman"/>
                <w:szCs w:val="21"/>
              </w:rPr>
            </w:pPr>
            <w:proofErr w:type="spellStart"/>
            <w:r w:rsidRPr="009255F6">
              <w:rPr>
                <w:rFonts w:ascii="Times New Roman" w:hAnsi="Times New Roman" w:cs="Times New Roman"/>
                <w:szCs w:val="21"/>
              </w:rPr>
              <w:t>Spreadtrum</w:t>
            </w:r>
            <w:proofErr w:type="spellEnd"/>
          </w:p>
          <w:p w14:paraId="3D743EFD" w14:textId="016E61E6" w:rsidR="009255F6" w:rsidRPr="009255F6" w:rsidRDefault="009255F6" w:rsidP="00695BF8">
            <w:pPr>
              <w:rPr>
                <w:rFonts w:ascii="Times New Roman" w:hAnsi="Times New Roman" w:cs="Times New Roman"/>
                <w:szCs w:val="21"/>
              </w:rPr>
            </w:pPr>
          </w:p>
        </w:tc>
        <w:tc>
          <w:tcPr>
            <w:tcW w:w="8275" w:type="dxa"/>
          </w:tcPr>
          <w:p w14:paraId="7BCED6DB"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14:paraId="49157EC0"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Secondly, from UE perspective, Option 1-1 and Option 2 have three possible channel estimation: </w:t>
            </w:r>
          </w:p>
          <w:p w14:paraId="58AC7ADE"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CE1: CE based on legacy DMRS pattern. </w:t>
            </w:r>
          </w:p>
          <w:p w14:paraId="6BF27ECC"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CE2: CE based on DMRS RE in symbol without LTE CRS. </w:t>
            </w:r>
          </w:p>
          <w:p w14:paraId="50F74461"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 xml:space="preserve">CE3: CE based on irregular DMRS pattern. </w:t>
            </w:r>
          </w:p>
          <w:p w14:paraId="39072936" w14:textId="77777777" w:rsidR="009255F6" w:rsidRPr="009255F6" w:rsidRDefault="009255F6" w:rsidP="009255F6">
            <w:pPr>
              <w:rPr>
                <w:rFonts w:ascii="Times New Roman" w:hAnsi="Times New Roman" w:cs="Times New Roman"/>
                <w:szCs w:val="21"/>
              </w:rPr>
            </w:pPr>
            <w:r w:rsidRPr="009255F6">
              <w:rPr>
                <w:rFonts w:ascii="Times New Roman" w:hAnsi="Times New Roman" w:cs="Times New Roman"/>
                <w:szCs w:val="21"/>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 The introduction of this new R18 DSS feature may lead to multiple channel estimators, different PDCCH decoding performance and significant RAN4 work for performance requirements. We are negative to the solutions which will finally depend on the UE implementation with potential multiple CE choices.</w:t>
            </w:r>
          </w:p>
          <w:p w14:paraId="2FA13AD7" w14:textId="2E29B9CB" w:rsidR="00695BF8" w:rsidRPr="009255F6" w:rsidRDefault="009255F6" w:rsidP="00695BF8">
            <w:pPr>
              <w:rPr>
                <w:rFonts w:ascii="Times New Roman" w:hAnsi="Times New Roman" w:cs="Times New Roman"/>
                <w:szCs w:val="21"/>
              </w:rPr>
            </w:pPr>
            <w:r w:rsidRPr="009255F6">
              <w:rPr>
                <w:rFonts w:ascii="Times New Roman" w:hAnsi="Times New Roman" w:cs="Times New Roman"/>
                <w:szCs w:val="21"/>
              </w:rPr>
              <w:t xml:space="preserve">If we </w:t>
            </w:r>
            <w:proofErr w:type="gramStart"/>
            <w:r w:rsidRPr="009255F6">
              <w:rPr>
                <w:rFonts w:ascii="Times New Roman" w:hAnsi="Times New Roman" w:cs="Times New Roman"/>
                <w:szCs w:val="21"/>
              </w:rPr>
              <w:t>have to</w:t>
            </w:r>
            <w:proofErr w:type="gramEnd"/>
            <w:r w:rsidRPr="009255F6">
              <w:rPr>
                <w:rFonts w:ascii="Times New Roman" w:hAnsi="Times New Roman" w:cs="Times New Roman"/>
                <w:szCs w:val="21"/>
              </w:rPr>
              <w:t xml:space="preserve">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r w:rsidR="003A2C45" w14:paraId="3ADE7931" w14:textId="77777777" w:rsidTr="003A2C45">
        <w:tc>
          <w:tcPr>
            <w:tcW w:w="1885" w:type="dxa"/>
          </w:tcPr>
          <w:p w14:paraId="51540F4F" w14:textId="77777777" w:rsidR="003A2C45" w:rsidRDefault="003A2C45" w:rsidP="0010058E">
            <w:r>
              <w:rPr>
                <w:rFonts w:hint="eastAsia"/>
              </w:rPr>
              <w:lastRenderedPageBreak/>
              <w:t>v</w:t>
            </w:r>
            <w:r>
              <w:t>ivo</w:t>
            </w:r>
          </w:p>
        </w:tc>
        <w:tc>
          <w:tcPr>
            <w:tcW w:w="8275" w:type="dxa"/>
          </w:tcPr>
          <w:p w14:paraId="20DC34B3" w14:textId="5B860621" w:rsidR="003A2C45" w:rsidRDefault="003A2C45" w:rsidP="0010058E">
            <w:r>
              <w:t xml:space="preserve">If RAN1 agree to support PDCCH reception on CRS symbol, we support option1-2. We are also fine with option1-1 with CE based on DMRS on clean symbol only. The loss experienced by using legacy receiver is not acceptable, and Option1-1 with legacy </w:t>
            </w:r>
            <w:proofErr w:type="spellStart"/>
            <w:r>
              <w:t>CE+punctured</w:t>
            </w:r>
            <w:proofErr w:type="spellEnd"/>
            <w:r>
              <w:t xml:space="preserve"> PDCCH cannot achieve attractive gain according to our simulation results, thus they are not preferred. We disagree that option1-2 is out of scope, the WID does not put any restriction on PDCCH rate matching pattern. Although option1-2 introduces new PDCCH rate matching pattern,</w:t>
            </w:r>
            <w:r w:rsidR="009B3027">
              <w:t xml:space="preserve"> it achieves similar gain as option1-1 with advance receiver, and</w:t>
            </w:r>
            <w:r>
              <w:t xml:space="preserve"> it is much simpler than CE based on irregular DMRS pattern from the perspective of implementation complexity. </w:t>
            </w:r>
          </w:p>
        </w:tc>
      </w:tr>
      <w:tr w:rsidR="00034EAE" w14:paraId="4174770D" w14:textId="77777777" w:rsidTr="00E26D84">
        <w:trPr>
          <w:trHeight w:val="1691"/>
        </w:trPr>
        <w:tc>
          <w:tcPr>
            <w:tcW w:w="1885" w:type="dxa"/>
          </w:tcPr>
          <w:p w14:paraId="0097DC4D" w14:textId="19FE1F90" w:rsidR="00034EAE" w:rsidRPr="00034EAE" w:rsidRDefault="00034EAE" w:rsidP="0010058E">
            <w:pPr>
              <w:rPr>
                <w:rFonts w:ascii="Times New Roman" w:hAnsi="Times New Roman" w:cs="Times New Roman"/>
              </w:rPr>
            </w:pPr>
            <w:r w:rsidRPr="00034EAE">
              <w:rPr>
                <w:rFonts w:ascii="Times New Roman" w:hAnsi="Times New Roman" w:cs="Times New Roman"/>
              </w:rPr>
              <w:t>Xiaomi</w:t>
            </w:r>
          </w:p>
        </w:tc>
        <w:tc>
          <w:tcPr>
            <w:tcW w:w="8275" w:type="dxa"/>
          </w:tcPr>
          <w:p w14:paraId="5CEB143E" w14:textId="332BD734" w:rsidR="002F181F" w:rsidRPr="00490810" w:rsidRDefault="00034EAE" w:rsidP="0010058E">
            <w:pPr>
              <w:rPr>
                <w:rFonts w:ascii="Times New Roman" w:hAnsi="Times New Roman" w:cs="Times New Roman"/>
                <w:lang w:val="en-GB"/>
              </w:rPr>
            </w:pPr>
            <w:r w:rsidRPr="00034EAE">
              <w:rPr>
                <w:rFonts w:ascii="Times New Roman" w:hAnsi="Times New Roman" w:cs="Times New Roman"/>
              </w:rPr>
              <w:t xml:space="preserve">We support </w:t>
            </w:r>
            <w:r>
              <w:rPr>
                <w:rFonts w:ascii="Times New Roman" w:hAnsi="Times New Roman" w:cs="Times New Roman"/>
              </w:rPr>
              <w:t xml:space="preserve">Option 1-2. </w:t>
            </w:r>
            <w:r w:rsidR="003237A2">
              <w:rPr>
                <w:rFonts w:ascii="Times New Roman" w:hAnsi="Times New Roman" w:cs="Times New Roman"/>
              </w:rPr>
              <w:t>According to our observations, in addition to</w:t>
            </w:r>
            <w:r>
              <w:rPr>
                <w:rFonts w:ascii="Times New Roman" w:hAnsi="Times New Roman" w:cs="Times New Roman"/>
              </w:rPr>
              <w:t xml:space="preserve"> the capacity performance gain and stable DMRS patterns for channel estimation</w:t>
            </w:r>
            <w:r w:rsidR="00E26D84">
              <w:rPr>
                <w:rFonts w:ascii="Times New Roman" w:hAnsi="Times New Roman" w:cs="Times New Roman"/>
              </w:rPr>
              <w:t xml:space="preserve"> simplicity</w:t>
            </w:r>
            <w:r>
              <w:rPr>
                <w:rFonts w:ascii="Times New Roman" w:hAnsi="Times New Roman" w:cs="Times New Roman"/>
              </w:rPr>
              <w:t>, Option1-2 also has better BLER performance than other schemes</w:t>
            </w:r>
            <w:r w:rsidR="00E26D84">
              <w:rPr>
                <w:rFonts w:ascii="Times New Roman" w:hAnsi="Times New Roman" w:cs="Times New Roman"/>
              </w:rPr>
              <w:t xml:space="preserve"> at lower ALs</w:t>
            </w:r>
            <w:r>
              <w:rPr>
                <w:rFonts w:ascii="Times New Roman" w:hAnsi="Times New Roman" w:cs="Times New Roman"/>
              </w:rPr>
              <w:t>.</w:t>
            </w:r>
            <w:r>
              <w:rPr>
                <w:rFonts w:ascii="Times New Roman" w:hAnsi="Times New Roman" w:cs="Times New Roman"/>
                <w:lang w:val="en-GB"/>
              </w:rPr>
              <w:t xml:space="preserve"> </w:t>
            </w:r>
            <w:r w:rsidR="00E26D84">
              <w:rPr>
                <w:rFonts w:ascii="Times New Roman" w:hAnsi="Times New Roman" w:cs="Times New Roman"/>
                <w:lang w:val="en-GB"/>
              </w:rPr>
              <w:t>Fortunately, l</w:t>
            </w:r>
            <w:r>
              <w:rPr>
                <w:rFonts w:ascii="Times New Roman" w:hAnsi="Times New Roman" w:cs="Times New Roman"/>
                <w:lang w:val="en-GB"/>
              </w:rPr>
              <w:t xml:space="preserve">ower ALs have a higher proportion in actual communication systems. </w:t>
            </w:r>
            <w:r w:rsidR="00490810">
              <w:rPr>
                <w:rFonts w:ascii="Times New Roman" w:hAnsi="Times New Roman" w:cs="Times New Roman" w:hint="eastAsia"/>
              </w:rPr>
              <w:t>W</w:t>
            </w:r>
            <w:r w:rsidR="00490810">
              <w:rPr>
                <w:rFonts w:ascii="Times New Roman" w:hAnsi="Times New Roman" w:cs="Times New Roman"/>
              </w:rPr>
              <w:t xml:space="preserve">e also disagree </w:t>
            </w:r>
            <w:r w:rsidR="00E26D84">
              <w:rPr>
                <w:rFonts w:ascii="Times New Roman" w:hAnsi="Times New Roman" w:cs="Times New Roman"/>
              </w:rPr>
              <w:t xml:space="preserve">with </w:t>
            </w:r>
            <w:r w:rsidR="00490810">
              <w:rPr>
                <w:rFonts w:ascii="Times New Roman" w:hAnsi="Times New Roman" w:cs="Times New Roman"/>
              </w:rPr>
              <w:t xml:space="preserve">ZTE’s consideration </w:t>
            </w:r>
            <w:r w:rsidR="00490810">
              <w:rPr>
                <w:rFonts w:ascii="Times New Roman" w:hAnsi="Times New Roman" w:cs="Times New Roman" w:hint="eastAsia"/>
              </w:rPr>
              <w:t>that</w:t>
            </w:r>
            <w:r w:rsidR="00490810">
              <w:rPr>
                <w:rFonts w:ascii="Times New Roman" w:hAnsi="Times New Roman" w:cs="Times New Roman"/>
              </w:rPr>
              <w:t xml:space="preserve"> Option 1-2 </w:t>
            </w:r>
            <w:r w:rsidR="00490810">
              <w:rPr>
                <w:rFonts w:ascii="Times New Roman" w:hAnsi="Times New Roman" w:cs="Times New Roman" w:hint="eastAsia"/>
              </w:rPr>
              <w:t>is</w:t>
            </w:r>
            <w:r w:rsidR="00490810">
              <w:rPr>
                <w:rFonts w:ascii="Times New Roman" w:hAnsi="Times New Roman" w:cs="Times New Roman"/>
              </w:rPr>
              <w:t xml:space="preserve"> out of scope</w:t>
            </w:r>
            <w:r w:rsidR="00490810">
              <w:rPr>
                <w:rFonts w:ascii="Times New Roman" w:hAnsi="Times New Roman" w:cs="Times New Roman" w:hint="eastAsia"/>
              </w:rPr>
              <w:t>.</w:t>
            </w:r>
            <w:r w:rsidR="00490810">
              <w:rPr>
                <w:rFonts w:ascii="Times New Roman" w:hAnsi="Times New Roman" w:cs="Times New Roman"/>
              </w:rPr>
              <w:t xml:space="preserve"> The WID does not restrict the PDCCH rate matching patterns to legacy.</w:t>
            </w:r>
            <w:r w:rsidR="00490810">
              <w:rPr>
                <w:rFonts w:ascii="Times New Roman" w:hAnsi="Times New Roman" w:cs="Times New Roman" w:hint="eastAsia"/>
                <w:lang w:val="en-GB"/>
              </w:rPr>
              <w:t xml:space="preserve"> </w:t>
            </w:r>
            <w:r>
              <w:rPr>
                <w:rFonts w:ascii="Times New Roman" w:hAnsi="Times New Roman" w:cs="Times New Roman"/>
                <w:lang w:val="en-GB"/>
              </w:rPr>
              <w:t xml:space="preserve">Whereas, Option 2 with UE receiving NR PDCCH &amp; DMRS on the REs overlapping with LTE CRS will degrade the performance of LTE. </w:t>
            </w:r>
            <w:r w:rsidR="002F181F">
              <w:rPr>
                <w:rFonts w:ascii="Times New Roman" w:hAnsi="Times New Roman" w:cs="Times New Roman" w:hint="eastAsia"/>
                <w:lang w:val="en-GB"/>
              </w:rPr>
              <w:t xml:space="preserve"> </w:t>
            </w:r>
          </w:p>
        </w:tc>
      </w:tr>
      <w:tr w:rsidR="005C2F70" w14:paraId="225C7595" w14:textId="77777777" w:rsidTr="00E26D84">
        <w:trPr>
          <w:trHeight w:val="1691"/>
        </w:trPr>
        <w:tc>
          <w:tcPr>
            <w:tcW w:w="1885" w:type="dxa"/>
          </w:tcPr>
          <w:p w14:paraId="5E7B2A52" w14:textId="081691BE" w:rsidR="005C2F70" w:rsidRPr="00034EAE" w:rsidRDefault="005C2F70" w:rsidP="005C2F70">
            <w:pPr>
              <w:rPr>
                <w:rFonts w:ascii="Times New Roman" w:hAnsi="Times New Roman" w:cs="Times New Roman"/>
              </w:rPr>
            </w:pPr>
            <w:r>
              <w:rPr>
                <w:rFonts w:ascii="Times New Roman" w:hAnsi="Times New Roman" w:cs="Times New Roman"/>
              </w:rPr>
              <w:t>OPPO</w:t>
            </w:r>
          </w:p>
        </w:tc>
        <w:tc>
          <w:tcPr>
            <w:tcW w:w="8275" w:type="dxa"/>
          </w:tcPr>
          <w:p w14:paraId="64E1D381" w14:textId="77777777" w:rsidR="005C2F70" w:rsidRDefault="005C2F70" w:rsidP="005C2F70">
            <w:pPr>
              <w:rPr>
                <w:rFonts w:ascii="Times New Roman" w:hAnsi="Times New Roman" w:cs="Times New Roman"/>
              </w:rPr>
            </w:pPr>
            <w:r>
              <w:rPr>
                <w:rFonts w:ascii="Times New Roman" w:hAnsi="Times New Roman" w:cs="Times New Roman"/>
              </w:rPr>
              <w:t xml:space="preserve">First, we share the view from MediaTek that “not enabling coexistence between NR PDCCH and LTE CRS” can be an option to choose.  Our first preference is not to support coexistence between NR PDCCH and LTE CRS. </w:t>
            </w:r>
          </w:p>
          <w:p w14:paraId="467BDF85" w14:textId="77777777" w:rsidR="005C2F70" w:rsidRDefault="005C2F70" w:rsidP="005C2F70">
            <w:pPr>
              <w:rPr>
                <w:rFonts w:ascii="Times New Roman" w:hAnsi="Times New Roman" w:cs="Times New Roman"/>
              </w:rPr>
            </w:pPr>
            <w:r>
              <w:rPr>
                <w:rFonts w:ascii="Times New Roman" w:hAnsi="Times New Roman" w:cs="Times New Roman"/>
              </w:rPr>
              <w:t xml:space="preserve">Secondly, if one option </w:t>
            </w:r>
            <w:proofErr w:type="gramStart"/>
            <w:r>
              <w:rPr>
                <w:rFonts w:ascii="Times New Roman" w:hAnsi="Times New Roman" w:cs="Times New Roman"/>
              </w:rPr>
              <w:t>has to</w:t>
            </w:r>
            <w:proofErr w:type="gramEnd"/>
            <w:r>
              <w:rPr>
                <w:rFonts w:ascii="Times New Roman" w:hAnsi="Times New Roman" w:cs="Times New Roman"/>
              </w:rPr>
              <w:t xml:space="preserve"> be chosen from all three options in the proposal, we slightly prefer Option 1-1 with the following add-on: </w:t>
            </w:r>
          </w:p>
          <w:p w14:paraId="193ABB20" w14:textId="77777777" w:rsidR="005C2F70" w:rsidRDefault="005C2F70" w:rsidP="005C2F70">
            <w:pPr>
              <w:rPr>
                <w:rFonts w:ascii="Times New Roman" w:hAnsi="Times New Roman" w:cs="Times New Roman"/>
              </w:rPr>
            </w:pPr>
            <w:r>
              <w:rPr>
                <w:rFonts w:ascii="Times New Roman" w:hAnsi="Times New Roman" w:cs="Times New Roman"/>
                <w:i/>
                <w:iCs/>
              </w:rPr>
              <w:t>UE is not required to use PDCCH DMRS RE’s transmitted in the same symbol as LTE CRS for channel estimation. Inform RAN4 of this decision.</w:t>
            </w:r>
            <w:r>
              <w:rPr>
                <w:rFonts w:ascii="Times New Roman" w:hAnsi="Times New Roman" w:cs="Times New Roman"/>
              </w:rPr>
              <w:t xml:space="preserve"> </w:t>
            </w:r>
          </w:p>
          <w:p w14:paraId="36136D7F" w14:textId="7D296AE0" w:rsidR="005C2F70" w:rsidRPr="00034EAE" w:rsidRDefault="005C2F70" w:rsidP="005C2F70">
            <w:pPr>
              <w:rPr>
                <w:rFonts w:ascii="Times New Roman" w:hAnsi="Times New Roman" w:cs="Times New Roman"/>
              </w:rPr>
            </w:pPr>
            <w:r>
              <w:rPr>
                <w:rFonts w:ascii="Times New Roman" w:hAnsi="Times New Roman" w:cs="Times New Roman"/>
              </w:rPr>
              <w:t xml:space="preserve">We think the above adding could be a compromise among performance, spec complexity and UE implementation complexity. </w:t>
            </w:r>
          </w:p>
        </w:tc>
      </w:tr>
    </w:tbl>
    <w:p w14:paraId="256EF2BC" w14:textId="77777777" w:rsidR="00E51666" w:rsidRDefault="00E51666"/>
    <w:p w14:paraId="3EF81F64" w14:textId="3B052278" w:rsidR="001B7D9E" w:rsidRDefault="001B7D9E" w:rsidP="001B7D9E">
      <w:pPr>
        <w:pStyle w:val="Heading1"/>
        <w:numPr>
          <w:ilvl w:val="0"/>
          <w:numId w:val="9"/>
        </w:numPr>
        <w:pBdr>
          <w:top w:val="single" w:sz="12" w:space="4" w:color="auto"/>
        </w:pBdr>
        <w:rPr>
          <w:rFonts w:cs="Arial"/>
          <w:lang w:val="en-US"/>
        </w:rPr>
      </w:pPr>
      <w:r>
        <w:rPr>
          <w:rFonts w:cs="Arial"/>
          <w:lang w:val="en-US"/>
        </w:rPr>
        <w:t>Offline</w:t>
      </w:r>
      <w:r w:rsidR="00D81937">
        <w:rPr>
          <w:rFonts w:cs="Arial"/>
          <w:lang w:val="en-US"/>
        </w:rPr>
        <w:t>#1</w:t>
      </w:r>
    </w:p>
    <w:p w14:paraId="3DED6F60" w14:textId="5275F844" w:rsidR="001B7D9E" w:rsidRDefault="001B7D9E" w:rsidP="001B7D9E"/>
    <w:p w14:paraId="5C339DCA" w14:textId="77777777" w:rsidR="0062058E" w:rsidRPr="004D2319" w:rsidRDefault="00D518F2" w:rsidP="001B7D9E">
      <w:pPr>
        <w:rPr>
          <w:b/>
          <w:bCs/>
          <w:u w:val="single"/>
        </w:rPr>
      </w:pPr>
      <w:r w:rsidRPr="004D2319">
        <w:rPr>
          <w:b/>
          <w:bCs/>
          <w:u w:val="single"/>
        </w:rPr>
        <w:t xml:space="preserve">Proposal 1 </w:t>
      </w:r>
    </w:p>
    <w:p w14:paraId="1E291F4C" w14:textId="38619D3B" w:rsidR="00D518F2" w:rsidRDefault="00D518F2" w:rsidP="001B7D9E">
      <w:r>
        <w:t xml:space="preserve">– Reception of NR PDCCH candidates that overlap with LTE CRS REs is supported by Rel18 UEs </w:t>
      </w:r>
    </w:p>
    <w:p w14:paraId="13D9A0A6" w14:textId="7796AAC3" w:rsidR="00456483" w:rsidRPr="004D4579" w:rsidRDefault="00456483" w:rsidP="00456483">
      <w:pPr>
        <w:pStyle w:val="ListParagraph"/>
        <w:numPr>
          <w:ilvl w:val="0"/>
          <w:numId w:val="12"/>
        </w:numPr>
      </w:pPr>
      <w:r>
        <w:t xml:space="preserve">It is RAN1 understanding that the feature </w:t>
      </w:r>
      <w:r w:rsidR="00634FA7">
        <w:t>is</w:t>
      </w:r>
      <w:r>
        <w:t xml:space="preserve"> supported </w:t>
      </w:r>
      <w:r w:rsidR="00C77A6F">
        <w:t>by UE performing channel estimation with a regular</w:t>
      </w:r>
      <w:r w:rsidR="00602B0F">
        <w:t xml:space="preserve"> legacy </w:t>
      </w:r>
      <w:r w:rsidR="00C77A6F">
        <w:t xml:space="preserve">DMRS pattern </w:t>
      </w:r>
      <w:r w:rsidR="00A827B3">
        <w:t xml:space="preserve">in frequency dimension </w:t>
      </w:r>
      <w:r w:rsidR="00634FA7" w:rsidRPr="00C77A6F">
        <w:rPr>
          <w:strike/>
        </w:rPr>
        <w:t xml:space="preserve">without requiring the UE to perform </w:t>
      </w:r>
      <w:r w:rsidRPr="00C77A6F">
        <w:rPr>
          <w:strike/>
        </w:rPr>
        <w:t xml:space="preserve">channel estimation </w:t>
      </w:r>
      <w:r w:rsidR="007C26B0" w:rsidRPr="00C77A6F">
        <w:rPr>
          <w:strike/>
        </w:rPr>
        <w:t>using irregular DMRS pattern</w:t>
      </w:r>
      <w:r w:rsidR="007C26B0">
        <w:t xml:space="preserve"> </w:t>
      </w:r>
      <w:r>
        <w:t>(</w:t>
      </w:r>
      <w:r w:rsidRPr="000A305D">
        <w:rPr>
          <w:highlight w:val="yellow"/>
        </w:rPr>
        <w:t>i.e., no change to UE assumption on PDCCH DMRS RE positions/pattern in a symbol</w:t>
      </w:r>
      <w:r w:rsidRPr="00456483">
        <w:rPr>
          <w:strike/>
        </w:rPr>
        <w:t>) – RAN4 is requested to take the above into account when specifying UE performance requirements</w:t>
      </w:r>
    </w:p>
    <w:p w14:paraId="4B873CD7" w14:textId="06ECB866" w:rsidR="004D4579" w:rsidRDefault="004D4579" w:rsidP="00456483">
      <w:pPr>
        <w:pStyle w:val="ListParagraph"/>
        <w:numPr>
          <w:ilvl w:val="0"/>
          <w:numId w:val="12"/>
        </w:numPr>
      </w:pPr>
      <w:r w:rsidRPr="004D4579">
        <w:t>Down</w:t>
      </w:r>
      <w:r w:rsidR="00092DC4">
        <w:t>-</w:t>
      </w:r>
      <w:r w:rsidRPr="004D4579">
        <w:t>select in next st</w:t>
      </w:r>
      <w:r w:rsidR="00092DC4">
        <w:t>age</w:t>
      </w:r>
      <w:r w:rsidRPr="004D4579">
        <w:t>:</w:t>
      </w:r>
    </w:p>
    <w:p w14:paraId="3C2BF3D9" w14:textId="3EFBFEA7" w:rsidR="00D518F2" w:rsidRDefault="00EF2573" w:rsidP="001B7D9E">
      <w:pPr>
        <w:pStyle w:val="ListParagraph"/>
        <w:numPr>
          <w:ilvl w:val="1"/>
          <w:numId w:val="12"/>
        </w:numPr>
      </w:pPr>
      <w:r>
        <w:t>Option 1-1</w:t>
      </w:r>
    </w:p>
    <w:p w14:paraId="44688550" w14:textId="69BFEAC2" w:rsidR="00092DC4" w:rsidRDefault="0085723B" w:rsidP="001B7D9E">
      <w:pPr>
        <w:pStyle w:val="ListParagraph"/>
        <w:numPr>
          <w:ilvl w:val="1"/>
          <w:numId w:val="12"/>
        </w:numPr>
      </w:pPr>
      <w:r>
        <w:lastRenderedPageBreak/>
        <w:t>Option 2</w:t>
      </w:r>
      <w:r w:rsidR="004C01FC">
        <w:t xml:space="preserve"> (with the intention that no new PDCCH RAN4 performance requirements are introduced)</w:t>
      </w:r>
    </w:p>
    <w:p w14:paraId="4314323D" w14:textId="1003C16B" w:rsidR="0085723B" w:rsidRDefault="0085723B" w:rsidP="001B7D9E">
      <w:pPr>
        <w:pStyle w:val="ListParagraph"/>
        <w:numPr>
          <w:ilvl w:val="1"/>
          <w:numId w:val="12"/>
        </w:numPr>
      </w:pPr>
      <w:r>
        <w:t>Option 1-2</w:t>
      </w:r>
    </w:p>
    <w:p w14:paraId="7BB6449C" w14:textId="1A7319F9" w:rsidR="00302E11" w:rsidRDefault="00302E11" w:rsidP="001B7D9E"/>
    <w:p w14:paraId="662853FC" w14:textId="77777777" w:rsidR="00E51666" w:rsidRDefault="0099225A">
      <w:pPr>
        <w:pStyle w:val="Heading1"/>
        <w:pBdr>
          <w:top w:val="single" w:sz="12" w:space="4" w:color="auto"/>
        </w:pBdr>
        <w:ind w:left="0" w:firstLine="0"/>
        <w:rPr>
          <w:rFonts w:cs="Arial"/>
          <w:lang w:val="en-US"/>
        </w:rPr>
      </w:pPr>
      <w:r>
        <w:rPr>
          <w:rFonts w:cs="Arial"/>
          <w:lang w:val="en-US"/>
        </w:rPr>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 xml:space="preserve">Huawei, </w:t>
      </w:r>
      <w:proofErr w:type="spellStart"/>
      <w:r>
        <w:t>HiSilicon</w:t>
      </w:r>
      <w:proofErr w:type="spellEnd"/>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r>
      <w:proofErr w:type="spellStart"/>
      <w:r>
        <w:t>Spreadtrum</w:t>
      </w:r>
      <w:proofErr w:type="spellEnd"/>
      <w:r>
        <w:t xml:space="preserve">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r>
      <w:proofErr w:type="spellStart"/>
      <w:r>
        <w:t>Mediatek</w:t>
      </w:r>
      <w:proofErr w:type="spellEnd"/>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t>[11] R1-2207130</w:t>
      </w:r>
      <w:r>
        <w:tab/>
        <w:t>Evaluation of NR PDCCH overlapping with LTE CRS</w:t>
      </w:r>
      <w:r>
        <w:tab/>
      </w:r>
      <w:proofErr w:type="spellStart"/>
      <w:r>
        <w:t>InterDigital</w:t>
      </w:r>
      <w:proofErr w:type="spellEnd"/>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Heading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Heading2"/>
        <w:numPr>
          <w:ilvl w:val="1"/>
          <w:numId w:val="9"/>
        </w:numPr>
        <w:ind w:left="360" w:hanging="360"/>
        <w:rPr>
          <w:lang w:val="en-US"/>
        </w:rPr>
      </w:pPr>
      <w:r>
        <w:rPr>
          <w:lang w:val="en-US"/>
        </w:rPr>
        <w:t>RAN1#109-e:</w:t>
      </w:r>
    </w:p>
    <w:p w14:paraId="4D9EA995" w14:textId="77777777" w:rsidR="00E51666" w:rsidRDefault="0099225A">
      <w:pPr>
        <w:spacing w:before="120"/>
        <w:rPr>
          <w:rFonts w:eastAsia="DengXian"/>
          <w:b/>
          <w:bCs/>
          <w:highlight w:val="green"/>
        </w:rPr>
      </w:pPr>
      <w:r>
        <w:rPr>
          <w:rFonts w:eastAsia="DengXian" w:hint="eastAsia"/>
          <w:b/>
          <w:bCs/>
          <w:highlight w:val="green"/>
        </w:rPr>
        <w:t>A</w:t>
      </w:r>
      <w:r>
        <w:rPr>
          <w:rFonts w:eastAsia="DengXian"/>
          <w:b/>
          <w:bCs/>
          <w:highlight w:val="green"/>
        </w:rPr>
        <w:t xml:space="preserve">greement </w:t>
      </w:r>
    </w:p>
    <w:p w14:paraId="5ADCAA0B" w14:textId="77777777" w:rsidR="00E51666" w:rsidRDefault="0099225A">
      <w:pPr>
        <w:spacing w:before="120"/>
        <w:rPr>
          <w:rFonts w:eastAsia="DengXian"/>
          <w:b/>
          <w:bCs/>
        </w:rPr>
      </w:pPr>
      <w:r>
        <w:rPr>
          <w:rFonts w:eastAsia="DengXian"/>
          <w:b/>
          <w:bCs/>
        </w:rPr>
        <w:t>To evaluate the following options:</w:t>
      </w:r>
    </w:p>
    <w:p w14:paraId="5E745DEF"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lastRenderedPageBreak/>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ListParagraph"/>
        <w:spacing w:after="120"/>
        <w:ind w:leftChars="330" w:left="726"/>
        <w:rPr>
          <w:rFonts w:ascii="Times New Roman" w:hAnsi="Times New Roman"/>
          <w:color w:val="000000"/>
        </w:rPr>
      </w:pPr>
    </w:p>
    <w:p w14:paraId="298658E6"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ListParagraph"/>
        <w:spacing w:after="120"/>
        <w:ind w:left="0"/>
        <w:rPr>
          <w:rFonts w:ascii="Times New Roman" w:hAnsi="Times New Roman"/>
          <w:color w:val="000000"/>
        </w:rPr>
      </w:pPr>
    </w:p>
    <w:p w14:paraId="6F16A3C8" w14:textId="77777777" w:rsidR="00E51666" w:rsidRDefault="0099225A">
      <w:pPr>
        <w:pStyle w:val="ListParagraph"/>
        <w:numPr>
          <w:ilvl w:val="1"/>
          <w:numId w:val="15"/>
        </w:numPr>
        <w:spacing w:after="120"/>
        <w:ind w:leftChars="120" w:left="684"/>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14:paraId="52961209" w14:textId="77777777" w:rsidR="00E51666" w:rsidRDefault="0099225A">
      <w:pPr>
        <w:pStyle w:val="ListParagraph"/>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Legacy</w:t>
      </w:r>
    </w:p>
    <w:p w14:paraId="78B8A647"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5ECFFA29" w14:textId="77777777" w:rsidR="00E51666" w:rsidRDefault="0099225A">
      <w:pPr>
        <w:pStyle w:val="ListParagraph"/>
        <w:numPr>
          <w:ilvl w:val="0"/>
          <w:numId w:val="11"/>
        </w:numPr>
        <w:contextualSpacing/>
        <w:rPr>
          <w:rFonts w:ascii="Times New Roman" w:eastAsia="DengXian" w:hAnsi="Times New Roman"/>
          <w:color w:val="000000"/>
        </w:rPr>
      </w:pPr>
      <w:bookmarkStart w:id="1" w:name="_Hlk103593086"/>
      <w:r>
        <w:rPr>
          <w:rFonts w:ascii="Times New Roman" w:eastAsia="DengXian"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DengXian" w:hAnsi="Times New Roman"/>
          <w:color w:val="000000"/>
        </w:rPr>
        <w:t>or legacy pattern is assumed</w:t>
      </w:r>
    </w:p>
    <w:bookmarkEnd w:id="1"/>
    <w:p w14:paraId="6BBCE736"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 xml:space="preserve">gNB transmits: Irrelevant what the gNB transmits on REs overlapping with the LTE CRS REs as indicated in the CRS RM pattern. </w:t>
      </w:r>
    </w:p>
    <w:p w14:paraId="48FEE72C"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Channel estimator: operate on clean symbol DMRS only, Legacy</w:t>
      </w:r>
    </w:p>
    <w:p w14:paraId="75F753D4" w14:textId="77777777" w:rsidR="00E51666" w:rsidRDefault="00E51666">
      <w:pPr>
        <w:pStyle w:val="ListParagraph"/>
        <w:ind w:left="420"/>
        <w:contextualSpacing/>
        <w:rPr>
          <w:rFonts w:ascii="Times New Roman" w:eastAsia="DengXian" w:hAnsi="Times New Roman"/>
          <w:color w:val="000000"/>
        </w:rPr>
      </w:pPr>
    </w:p>
    <w:p w14:paraId="2C57EBD8" w14:textId="77777777" w:rsidR="00E51666" w:rsidRDefault="0099225A">
      <w:pPr>
        <w:pStyle w:val="ListParagraph"/>
        <w:ind w:left="0"/>
        <w:contextualSpacing/>
        <w:rPr>
          <w:rFonts w:ascii="Times New Roman" w:eastAsia="DengXian" w:hAnsi="Times New Roman"/>
          <w:b/>
          <w:bCs/>
          <w:color w:val="000000"/>
        </w:rPr>
      </w:pPr>
      <w:r>
        <w:rPr>
          <w:rFonts w:ascii="Times New Roman" w:eastAsia="DengXian" w:hAnsi="Times New Roman"/>
          <w:b/>
          <w:bCs/>
          <w:color w:val="000000"/>
        </w:rPr>
        <w:t>Option 1-2:</w:t>
      </w:r>
    </w:p>
    <w:p w14:paraId="43FF92D0" w14:textId="77777777" w:rsidR="00E51666" w:rsidRDefault="0099225A">
      <w:pPr>
        <w:pStyle w:val="ListParagraph"/>
        <w:numPr>
          <w:ilvl w:val="0"/>
          <w:numId w:val="11"/>
        </w:numPr>
        <w:contextualSpacing/>
        <w:rPr>
          <w:rFonts w:ascii="Times New Roman" w:eastAsia="DengXian" w:hAnsi="Times New Roman"/>
          <w:color w:val="000000"/>
        </w:rPr>
      </w:pPr>
      <w:r>
        <w:rPr>
          <w:rFonts w:ascii="Times New Roman" w:eastAsia="DengXian" w:hAnsi="Times New Roman"/>
          <w:color w:val="000000"/>
        </w:rPr>
        <w:t>PDCCH and PDCCH DMRS mapping to REs: New PDCCH rate-matching</w:t>
      </w:r>
    </w:p>
    <w:p w14:paraId="3EB00B22" w14:textId="77777777" w:rsidR="00E51666" w:rsidRDefault="0099225A">
      <w:pPr>
        <w:pStyle w:val="ListParagraph"/>
        <w:numPr>
          <w:ilvl w:val="1"/>
          <w:numId w:val="12"/>
        </w:numPr>
        <w:contextualSpacing/>
        <w:rPr>
          <w:rFonts w:ascii="Times New Roman" w:eastAsia="DengXian" w:hAnsi="Times New Roman"/>
          <w:color w:val="000000"/>
        </w:rPr>
      </w:pPr>
      <w:r>
        <w:rPr>
          <w:rFonts w:ascii="Times New Roman" w:eastAsia="DengXian" w:hAnsi="Times New Roman"/>
          <w:color w:val="000000"/>
        </w:rPr>
        <w:t xml:space="preserve">No PDCCH DMRS on the symbol overlapping with LTE CRS </w:t>
      </w:r>
    </w:p>
    <w:p w14:paraId="02A7DB77"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PDCCH REs overlapping with LTE CRS: Receiver punctures</w:t>
      </w:r>
    </w:p>
    <w:p w14:paraId="7C9B1BF9"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PDCCH DMRS REs overlapping with LTE CRS: Not expected</w:t>
      </w:r>
    </w:p>
    <w:p w14:paraId="658D250E"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Channel estimator (UE assumption): Operate on clean symbol DMRS only</w:t>
      </w:r>
    </w:p>
    <w:p w14:paraId="72D375C1" w14:textId="77777777" w:rsidR="00E51666" w:rsidRDefault="0099225A">
      <w:pPr>
        <w:pStyle w:val="ListParagraph"/>
        <w:numPr>
          <w:ilvl w:val="0"/>
          <w:numId w:val="12"/>
        </w:numPr>
        <w:contextualSpacing/>
        <w:rPr>
          <w:rFonts w:ascii="Times New Roman" w:eastAsia="DengXian" w:hAnsi="Times New Roman"/>
          <w:color w:val="000000"/>
        </w:rPr>
      </w:pPr>
      <w:r>
        <w:rPr>
          <w:rFonts w:ascii="Times New Roman" w:eastAsia="DengXian" w:hAnsi="Times New Roman"/>
          <w:color w:val="000000"/>
        </w:rPr>
        <w:t>gNB transmits: Irrelevant what the gNB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ListParagraph"/>
        <w:ind w:left="0"/>
        <w:contextualSpacing/>
        <w:rPr>
          <w:rFonts w:ascii="Times New Roman" w:eastAsia="DengXian" w:hAnsi="Times New Roman"/>
          <w:b/>
          <w:bCs/>
        </w:rPr>
      </w:pPr>
      <w:r>
        <w:rPr>
          <w:rFonts w:ascii="Times New Roman" w:eastAsia="DengXian" w:hAnsi="Times New Roman"/>
          <w:b/>
          <w:bCs/>
        </w:rPr>
        <w:t>Option 2:</w:t>
      </w:r>
    </w:p>
    <w:p w14:paraId="43A8E77D"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and PDCCH DMRS mapping to REs: Legacy</w:t>
      </w:r>
    </w:p>
    <w:p w14:paraId="41C57802"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 xml:space="preserve">PDCCH REs overlapping with LTE CRS: Baseline: Process as legacy </w:t>
      </w:r>
    </w:p>
    <w:p w14:paraId="4F99B7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PDCCH DMRS REs overlapping with LTE CRS: Aware or unaware</w:t>
      </w:r>
    </w:p>
    <w:p w14:paraId="5713FF26"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Channel estimator: Baseline: Process as legacy (Receiver does not puncture DMRS), Optional: Advanced receiver (Use the DMRS other than legacy behavior)</w:t>
      </w:r>
    </w:p>
    <w:p w14:paraId="3530468C" w14:textId="77777777" w:rsidR="00E51666" w:rsidRDefault="0099225A">
      <w:pPr>
        <w:pStyle w:val="ListParagraph"/>
        <w:numPr>
          <w:ilvl w:val="0"/>
          <w:numId w:val="12"/>
        </w:numPr>
        <w:contextualSpacing/>
        <w:rPr>
          <w:rFonts w:ascii="Times New Roman" w:eastAsia="DengXian" w:hAnsi="Times New Roman"/>
        </w:rPr>
      </w:pPr>
      <w:r>
        <w:rPr>
          <w:rFonts w:ascii="Times New Roman" w:eastAsia="DengXian" w:hAnsi="Times New Roman"/>
        </w:rPr>
        <w:t xml:space="preserve">gNB transmits: </w:t>
      </w:r>
    </w:p>
    <w:p w14:paraId="180F385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Baseline: May puncture the PDCCH/PDCCH DMRS, or may superposition the two. </w:t>
      </w:r>
    </w:p>
    <w:p w14:paraId="1AF1F08C"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 xml:space="preserve">Optional: may puncture LTE CRS of </w:t>
      </w:r>
      <w:r>
        <w:rPr>
          <w:rFonts w:ascii="Times New Roman" w:eastAsia="DengXian" w:hAnsi="Times New Roman" w:hint="eastAsia"/>
        </w:rPr>
        <w:t>Port</w:t>
      </w:r>
      <w:r>
        <w:rPr>
          <w:rFonts w:ascii="Times New Roman" w:eastAsia="DengXian" w:hAnsi="Times New Roman"/>
        </w:rPr>
        <w:t xml:space="preserve">#2&amp;3. </w:t>
      </w:r>
    </w:p>
    <w:p w14:paraId="4EA5FD81" w14:textId="77777777" w:rsidR="00E51666" w:rsidRDefault="0099225A">
      <w:pPr>
        <w:pStyle w:val="ListParagraph"/>
        <w:numPr>
          <w:ilvl w:val="1"/>
          <w:numId w:val="12"/>
        </w:numPr>
        <w:contextualSpacing/>
        <w:rPr>
          <w:rFonts w:ascii="Times New Roman" w:eastAsia="DengXian" w:hAnsi="Times New Roman"/>
        </w:rPr>
      </w:pPr>
      <w:r>
        <w:rPr>
          <w:rFonts w:ascii="Times New Roman" w:eastAsia="DengXian" w:hAnsi="Times New Roman"/>
        </w:rPr>
        <w:t>Impact to LTE UEs should be considered if superposition is used.</w:t>
      </w:r>
    </w:p>
    <w:p w14:paraId="50FB251D" w14:textId="77777777" w:rsidR="00E51666" w:rsidRDefault="00E51666">
      <w:pPr>
        <w:pStyle w:val="ListParagraph"/>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lastRenderedPageBreak/>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ListParagraph"/>
        <w:spacing w:after="120"/>
        <w:ind w:left="0"/>
        <w:rPr>
          <w:rFonts w:ascii="Times New Roman" w:hAnsi="Times New Roman"/>
        </w:rPr>
      </w:pPr>
    </w:p>
    <w:p w14:paraId="24CF9469" w14:textId="77777777" w:rsidR="00E51666" w:rsidRDefault="0099225A">
      <w:pPr>
        <w:pStyle w:val="ListParagraph"/>
        <w:spacing w:after="120"/>
        <w:ind w:left="0"/>
        <w:rPr>
          <w:rFonts w:ascii="Times New Roman" w:eastAsia="DengXian" w:hAnsi="Times New Roman"/>
          <w:highlight w:val="green"/>
        </w:rPr>
      </w:pPr>
      <w:r>
        <w:rPr>
          <w:rFonts w:ascii="Times New Roman" w:eastAsia="DengXian"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(1,2,2,1,1;1,1),</w:t>
            </w:r>
          </w:p>
          <w:p w14:paraId="6CDD0B5A" w14:textId="77777777" w:rsidR="00E51666" w:rsidRDefault="0099225A">
            <w:pPr>
              <w:overflowPunct w:val="0"/>
              <w:spacing w:after="60"/>
              <w:rPr>
                <w:rFonts w:ascii="Calibri" w:hAnsi="Calibri"/>
                <w:szCs w:val="20"/>
              </w:rPr>
            </w:pPr>
            <w:r>
              <w:rPr>
                <w:rFonts w:ascii="Calibri" w:hAnsi="Calibri"/>
                <w:szCs w:val="20"/>
              </w:rPr>
              <w:t>[2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ListParagraph"/>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lastRenderedPageBreak/>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w:t>
            </w:r>
            <w:proofErr w:type="spellStart"/>
            <w:r>
              <w:rPr>
                <w:szCs w:val="20"/>
              </w:rPr>
              <w:t>Rma</w:t>
            </w:r>
            <w:proofErr w:type="spellEnd"/>
            <w:r>
              <w:rPr>
                <w:szCs w:val="20"/>
              </w:rPr>
              <w:t xml:space="preserve">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w:t>
            </w:r>
            <w:proofErr w:type="spellStart"/>
            <w:r>
              <w:rPr>
                <w:szCs w:val="20"/>
              </w:rPr>
              <w:t>Rma</w:t>
            </w:r>
            <w:proofErr w:type="spellEnd"/>
            <w:r>
              <w:rPr>
                <w:szCs w:val="20"/>
              </w:rPr>
              <w:t>)]</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 xml:space="preserve">8 </w:t>
            </w:r>
            <w:proofErr w:type="spellStart"/>
            <w:r>
              <w:rPr>
                <w:szCs w:val="20"/>
              </w:rPr>
              <w:t>dBi</w:t>
            </w:r>
            <w:proofErr w:type="spellEnd"/>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DengXian"/>
                <w:szCs w:val="20"/>
              </w:rPr>
            </w:pPr>
            <w:r>
              <w:rPr>
                <w:szCs w:val="20"/>
              </w:rPr>
              <w:t>Full Buffer</w:t>
            </w:r>
            <w:r>
              <w:rPr>
                <w:rFonts w:ascii="Times New Roman" w:eastAsia="SimSun"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DengXian"/>
                <w:szCs w:val="20"/>
              </w:rPr>
            </w:pPr>
            <w:r>
              <w:rPr>
                <w:rFonts w:eastAsia="DengXian" w:hint="eastAsia"/>
                <w:szCs w:val="20"/>
              </w:rPr>
              <w:t>K</w:t>
            </w:r>
            <w:r>
              <w:rPr>
                <w:rFonts w:eastAsia="DengXian"/>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SimSun" w:hAnsi="Times New Roman"/>
              </w:rPr>
            </w:pPr>
            <w:r>
              <w:rPr>
                <w:rFonts w:ascii="Times New Roman" w:eastAsia="SimSun" w:hAnsi="Times New Roman"/>
              </w:rPr>
              <w:t>Companies to report (e.g., total PDCCH capacity,</w:t>
            </w:r>
            <w:r>
              <w:rPr>
                <w:rFonts w:ascii="Times New Roman" w:eastAsia="SimSun" w:hAnsi="Times New Roman" w:hint="eastAsia"/>
              </w:rPr>
              <w:t xml:space="preserve"> </w:t>
            </w:r>
            <w:r>
              <w:rPr>
                <w:rFonts w:ascii="Times New Roman" w:eastAsia="SimSun" w:hAnsi="Times New Roman"/>
              </w:rPr>
              <w:t>PDCCH coverage/outage,</w:t>
            </w:r>
            <w:r>
              <w:rPr>
                <w:rFonts w:ascii="Times New Roman" w:eastAsia="SimSun" w:hAnsi="Times New Roman" w:hint="eastAsia"/>
              </w:rPr>
              <w:t xml:space="preserve"> </w:t>
            </w:r>
            <w:r>
              <w:rPr>
                <w:rFonts w:ascii="Times New Roman" w:eastAsia="SimSun" w:hAnsi="Times New Roman"/>
              </w:rPr>
              <w:t xml:space="preserve">Potential degradation of LTE, </w:t>
            </w:r>
            <w:r>
              <w:rPr>
                <w:rFonts w:ascii="Times New Roman" w:eastAsia="SimSun" w:hAnsi="Times New Roman" w:hint="eastAsia"/>
              </w:rPr>
              <w:t>whether and how to achieve coexistence with legacy UEs</w:t>
            </w:r>
            <w:r>
              <w:rPr>
                <w:rFonts w:ascii="Times New Roman" w:eastAsia="SimSun"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SimSun"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SimSun" w:hAnsi="Times New Roman"/>
              </w:rPr>
            </w:pPr>
            <w:r>
              <w:rPr>
                <w:rFonts w:ascii="Times New Roman" w:eastAsia="SimSun"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F959" w14:textId="77777777" w:rsidR="00451073" w:rsidRDefault="00451073">
      <w:r>
        <w:separator/>
      </w:r>
    </w:p>
  </w:endnote>
  <w:endnote w:type="continuationSeparator" w:id="0">
    <w:p w14:paraId="6AA9E45F" w14:textId="77777777" w:rsidR="00451073" w:rsidRDefault="0045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9620" w14:textId="77777777" w:rsidR="00E51666" w:rsidRDefault="0099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CB06D7" w14:textId="77777777" w:rsidR="00E51666" w:rsidRDefault="00E51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3E14" w14:textId="02E121B8" w:rsidR="00E51666" w:rsidRDefault="0099225A">
    <w:pPr>
      <w:pStyle w:val="Footer"/>
      <w:ind w:right="360"/>
    </w:pPr>
    <w:r>
      <w:rPr>
        <w:rStyle w:val="PageNumber"/>
      </w:rPr>
      <w:fldChar w:fldCharType="begin"/>
    </w:r>
    <w:r>
      <w:rPr>
        <w:rStyle w:val="PageNumber"/>
      </w:rPr>
      <w:instrText xml:space="preserve"> PAGE </w:instrText>
    </w:r>
    <w:r>
      <w:rPr>
        <w:rStyle w:val="PageNumber"/>
      </w:rPr>
      <w:fldChar w:fldCharType="separate"/>
    </w:r>
    <w:r w:rsidR="009255F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55F6">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3139" w14:textId="77777777" w:rsidR="00451073" w:rsidRDefault="00451073">
      <w:r>
        <w:separator/>
      </w:r>
    </w:p>
  </w:footnote>
  <w:footnote w:type="continuationSeparator" w:id="0">
    <w:p w14:paraId="1CD77E85" w14:textId="77777777" w:rsidR="00451073" w:rsidRDefault="0045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EAE"/>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016"/>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C4"/>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5D"/>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B7D9E"/>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81F"/>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2E11"/>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7A2"/>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4B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D16"/>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C45"/>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39"/>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D67"/>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58B"/>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073"/>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83"/>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810"/>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1FC"/>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19"/>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579"/>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830"/>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497"/>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2F70"/>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059"/>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B0F"/>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8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4FA7"/>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6B0"/>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23B"/>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2E"/>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027"/>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7B3"/>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677"/>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570"/>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A6F"/>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91"/>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8F2"/>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937"/>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4"/>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6D84"/>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573"/>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596"/>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96E"/>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656"/>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9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819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193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10"/>
    <w:link w:val="StatementBodyChar"/>
    <w:qFormat/>
    <w:pPr>
      <w:numPr>
        <w:numId w:val="2"/>
      </w:numPr>
      <w:spacing w:after="100" w:afterAutospacing="1"/>
      <w:contextualSpacing/>
    </w:p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cstheme="minorHAnsi"/>
      <w:lang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hAnsi="Calibri" w:cs="Calibri"/>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hAnsi="Calibri" w:cs="Calibri"/>
    </w:rPr>
  </w:style>
  <w:style w:type="paragraph" w:customStyle="1" w:styleId="xxxxmsonormal">
    <w:name w:val="x_x_xxmsonormal"/>
    <w:basedOn w:val="Normal"/>
    <w:uiPriority w:val="99"/>
    <w:qFormat/>
    <w:pPr>
      <w:spacing w:before="100" w:beforeAutospacing="1" w:after="100" w:afterAutospacing="1"/>
    </w:pPr>
    <w:rPr>
      <w:rFonts w:ascii="Calibri" w:hAnsi="Calibri" w:cs="Calibri"/>
    </w:rPr>
  </w:style>
  <w:style w:type="paragraph" w:customStyle="1" w:styleId="xxxxxxmsonormal">
    <w:name w:val="x_x_xxxxmsonormal"/>
    <w:basedOn w:val="Normal"/>
    <w:uiPriority w:val="99"/>
    <w:qFormat/>
    <w:rPr>
      <w:rFonts w:ascii="Calibri" w:hAnsi="Calibri" w:cs="Calibri"/>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hAnsi="Calibri" w:cs="Calibri"/>
    </w:rPr>
  </w:style>
  <w:style w:type="paragraph" w:customStyle="1" w:styleId="xxmsonormal0">
    <w:name w:val="x_x_msonormal"/>
    <w:basedOn w:val="Normal"/>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hAnsi="Calibri" w:cs="Calibri"/>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hAnsi="Calibri" w:cs="Calibri"/>
    </w:rPr>
  </w:style>
  <w:style w:type="paragraph" w:customStyle="1" w:styleId="xxproposal">
    <w:name w:val="xxproposal"/>
    <w:basedOn w:val="Normal"/>
    <w:qFormat/>
    <w:pPr>
      <w:spacing w:before="100" w:beforeAutospacing="1" w:after="100" w:afterAutospacing="1"/>
    </w:pPr>
    <w:rPr>
      <w:rFonts w:ascii="Calibri" w:hAnsi="Calibri" w:cs="Calibri"/>
    </w:rPr>
  </w:style>
  <w:style w:type="paragraph" w:customStyle="1" w:styleId="3GPPHeader">
    <w:name w:val="3GPP_Header"/>
    <w:basedOn w:val="BodyText"/>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hAnsi="Calibri" w:cs="Calibri"/>
    </w:rPr>
  </w:style>
  <w:style w:type="paragraph" w:customStyle="1" w:styleId="xmsolistparagraph">
    <w:name w:val="x_msolistparagraph"/>
    <w:basedOn w:val="Normal"/>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38</cp:revision>
  <cp:lastPrinted>2022-05-11T03:23:00Z</cp:lastPrinted>
  <dcterms:created xsi:type="dcterms:W3CDTF">2022-08-22T03:37:00Z</dcterms:created>
  <dcterms:modified xsi:type="dcterms:W3CDTF">2022-08-22T17:36:00Z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