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sz w:val="22"/>
        </w:rPr>
      </w:pPr>
    </w:p>
    <w:p w14:paraId="5DA1F50D" w14:textId="77777777" w:rsidR="0010502F" w:rsidRDefault="00065D5B">
      <w:pPr>
        <w:pStyle w:val="3GPPHeader"/>
        <w:snapToGrid w:val="0"/>
        <w:rPr>
          <w:rFonts w:cs="Arial"/>
          <w:sz w:val="22"/>
        </w:rPr>
      </w:pPr>
      <w:r>
        <w:rPr>
          <w:rFonts w:cs="Arial"/>
          <w:sz w:val="22"/>
        </w:rPr>
        <w:t>Source:</w:t>
      </w:r>
      <w:r>
        <w:rPr>
          <w:rFonts w:cs="Arial"/>
          <w:sz w:val="22"/>
        </w:rPr>
        <w:tab/>
        <w:t>Moderator (ZTE)</w:t>
      </w:r>
    </w:p>
    <w:p w14:paraId="5DA1F50E" w14:textId="77777777" w:rsidR="0010502F" w:rsidRDefault="00065D5B">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5DA1F50F" w14:textId="77777777" w:rsidR="0010502F" w:rsidRDefault="00065D5B">
      <w:pPr>
        <w:pStyle w:val="3GPPHeader"/>
        <w:snapToGrid w:val="0"/>
        <w:rPr>
          <w:rFonts w:cs="Arial"/>
          <w:sz w:val="22"/>
        </w:rPr>
      </w:pPr>
      <w:r>
        <w:rPr>
          <w:rFonts w:cs="Arial"/>
          <w:sz w:val="22"/>
        </w:rPr>
        <w:t>Agenda Item:</w:t>
      </w:r>
      <w:r>
        <w:rPr>
          <w:rFonts w:cs="Arial"/>
          <w:sz w:val="22"/>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w:t>
      </w:r>
      <w:proofErr w:type="gramStart"/>
      <w:r w:rsidRPr="00587E35">
        <w:t>are</w:t>
      </w:r>
      <w:proofErr w:type="gramEnd"/>
      <w:r w:rsidRPr="00587E35">
        <w:t xml:space="preserve"> summarized as below:</w:t>
      </w:r>
    </w:p>
    <w:p w14:paraId="5DA1F513"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Beam information</w:t>
      </w:r>
    </w:p>
    <w:p w14:paraId="5DA1F514"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ON-OFF information</w:t>
      </w:r>
    </w:p>
    <w:p w14:paraId="5DA1F515"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TDD information</w:t>
      </w:r>
    </w:p>
    <w:p w14:paraId="5DA1F516"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Timing information</w:t>
      </w:r>
    </w:p>
    <w:p w14:paraId="5DA1F517"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14:paraId="5DA1F51A"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spacing w:after="0"/>
        <w:rPr>
          <w:i/>
          <w:highlight w:val="green"/>
        </w:rPr>
      </w:pPr>
      <w:r w:rsidRPr="00587E35">
        <w:rPr>
          <w:b/>
          <w:bCs/>
          <w:i/>
          <w:highlight w:val="green"/>
        </w:rPr>
        <w:t>Agreement</w:t>
      </w:r>
    </w:p>
    <w:p w14:paraId="5DA1F51D" w14:textId="77777777" w:rsidR="0010502F" w:rsidRPr="00587E35" w:rsidRDefault="00065D5B">
      <w:pPr>
        <w:snapToGrid w:val="0"/>
        <w:spacing w:after="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ListParagraph"/>
        <w:numPr>
          <w:ilvl w:val="0"/>
          <w:numId w:val="12"/>
        </w:numPr>
        <w:adjustRightInd w:val="0"/>
        <w:snapToGrid w:val="0"/>
        <w:rPr>
          <w:rFonts w:ascii="Times New Roman" w:hAnsi="Times New Roman"/>
          <w:bCs/>
          <w:i/>
          <w:sz w:val="20"/>
          <w:szCs w:val="20"/>
        </w:rPr>
      </w:pPr>
      <w:r>
        <w:rPr>
          <w:rFonts w:ascii="Times New Roman" w:hAnsi="Times New Roman"/>
          <w:i/>
          <w:sz w:val="20"/>
          <w:szCs w:val="20"/>
        </w:rPr>
        <w:t>FFS: Detailed mechanism of indication.</w:t>
      </w:r>
    </w:p>
    <w:p w14:paraId="5DA1F51F" w14:textId="77777777" w:rsidR="0010502F" w:rsidRDefault="00065D5B">
      <w:pPr>
        <w:pStyle w:val="ListParagraph"/>
        <w:numPr>
          <w:ilvl w:val="0"/>
          <w:numId w:val="12"/>
        </w:numPr>
        <w:adjustRightInd w:val="0"/>
        <w:snapToGrid w:val="0"/>
        <w:rPr>
          <w:rFonts w:ascii="Times New Roman" w:hAnsi="Times New Roman"/>
          <w:bCs/>
          <w:i/>
          <w:sz w:val="20"/>
          <w:szCs w:val="20"/>
        </w:rPr>
      </w:pPr>
      <w:r>
        <w:rPr>
          <w:rFonts w:ascii="Times New Roman" w:hAnsi="Times New Roman"/>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w:t>
      </w:r>
      <w:proofErr w:type="gramStart"/>
      <w:r>
        <w:t>e.g.</w:t>
      </w:r>
      <w:proofErr w:type="gramEnd"/>
      <w:r>
        <w:t xml:space="preserve">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lastRenderedPageBreak/>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t xml:space="preserve">Then, </w:t>
      </w:r>
      <w:r>
        <w:t xml:space="preserve">from FL’s perspective, according to the inputs, it’s reasonable to make the same recommendation on FR1 </w:t>
      </w:r>
      <w:proofErr w:type="gramStart"/>
      <w:r>
        <w:t>and also</w:t>
      </w:r>
      <w:proofErr w:type="gramEnd"/>
      <w:r>
        <w:t xml:space="preserve"> fine to capture all inputs into TR 38.867.</w:t>
      </w:r>
    </w:p>
    <w:p w14:paraId="5DA1F528" w14:textId="77777777" w:rsidR="0010502F" w:rsidRPr="00587E35" w:rsidRDefault="00065D5B">
      <w:pPr>
        <w:snapToGrid w:val="0"/>
        <w:spacing w:after="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ListParagraph"/>
        <w:numPr>
          <w:ilvl w:val="0"/>
          <w:numId w:val="14"/>
        </w:numPr>
        <w:snapToGrid w:val="0"/>
        <w:spacing w:beforeLines="50" w:before="120" w:afterLines="50" w:after="120"/>
        <w:rPr>
          <w:rFonts w:ascii="Times New Roman" w:hAnsi="Times New Roman"/>
          <w:bCs/>
          <w:i/>
          <w:sz w:val="20"/>
          <w:szCs w:val="20"/>
          <w:highlight w:val="yellow"/>
        </w:rPr>
      </w:pPr>
      <w:r>
        <w:rPr>
          <w:rFonts w:ascii="Times New Roman" w:eastAsia="Batang" w:hAnsi="Times New Roman"/>
          <w:i/>
          <w:iCs/>
          <w:sz w:val="20"/>
          <w:szCs w:val="20"/>
          <w:highlight w:val="yellow"/>
        </w:rPr>
        <w:t xml:space="preserve">For FR1: </w:t>
      </w:r>
    </w:p>
    <w:p w14:paraId="5DA1F538" w14:textId="77777777" w:rsidR="0010502F" w:rsidRDefault="00065D5B">
      <w:pPr>
        <w:numPr>
          <w:ilvl w:val="0"/>
          <w:numId w:val="15"/>
        </w:numPr>
        <w:ind w:rightChars="100" w:right="22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w:t>
      </w:r>
      <w:proofErr w:type="gramStart"/>
      <w:r>
        <w:rPr>
          <w:i/>
          <w:highlight w:val="yellow"/>
        </w:rPr>
        <w:t>e.g.</w:t>
      </w:r>
      <w:proofErr w:type="gramEnd"/>
      <w:r>
        <w:rPr>
          <w:i/>
          <w:highlight w:val="yellow"/>
        </w:rPr>
        <w:t xml:space="preserve">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20"/>
        <w:rPr>
          <w:i/>
          <w:highlight w:val="yellow"/>
        </w:rPr>
      </w:pPr>
      <w:r>
        <w:rPr>
          <w:rFonts w:hint="eastAsia"/>
          <w:i/>
          <w:highlight w:val="yellow"/>
        </w:rPr>
        <w:lastRenderedPageBreak/>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ListParagraph"/>
        <w:numPr>
          <w:ilvl w:val="0"/>
          <w:numId w:val="14"/>
        </w:numPr>
        <w:snapToGrid w:val="0"/>
        <w:spacing w:beforeLines="50" w:before="120" w:afterLines="50" w:after="120"/>
        <w:rPr>
          <w:rFonts w:ascii="Times New Roman" w:hAnsi="Times New Roman"/>
          <w:i/>
          <w:sz w:val="20"/>
          <w:szCs w:val="20"/>
          <w:highlight w:val="yellow"/>
        </w:rPr>
      </w:pPr>
      <w:r>
        <w:rPr>
          <w:rFonts w:ascii="Times New Roman" w:hAnsi="Times New Roman"/>
          <w:i/>
          <w:sz w:val="20"/>
          <w:szCs w:val="20"/>
          <w:highlight w:val="yellow"/>
        </w:rPr>
        <w:t>For FR-2:</w:t>
      </w:r>
    </w:p>
    <w:p w14:paraId="5DA1F53C" w14:textId="77777777" w:rsidR="0010502F" w:rsidRDefault="00065D5B">
      <w:pPr>
        <w:numPr>
          <w:ilvl w:val="0"/>
          <w:numId w:val="15"/>
        </w:numPr>
        <w:ind w:rightChars="100" w:right="22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gNB only and legacy RF repeater. Compared with gNB only, NCR has a SINR improvement about </w:t>
      </w:r>
      <w:r>
        <w:rPr>
          <w:rFonts w:hint="eastAsia"/>
          <w:i/>
          <w:highlight w:val="yellow"/>
        </w:rPr>
        <w:t>1.42</w:t>
      </w:r>
      <w:r>
        <w:rPr>
          <w:i/>
          <w:highlight w:val="yellow"/>
        </w:rPr>
        <w:t xml:space="preserve"> dB, </w:t>
      </w:r>
      <w:r>
        <w:rPr>
          <w:rFonts w:hint="eastAsia"/>
          <w:i/>
          <w:highlight w:val="yellow"/>
        </w:rPr>
        <w:t>1.44</w:t>
      </w:r>
      <w:r>
        <w:rPr>
          <w:i/>
          <w:highlight w:val="yellow"/>
        </w:rPr>
        <w:t xml:space="preserve"> dB, and </w:t>
      </w:r>
      <w:r>
        <w:rPr>
          <w:rFonts w:hint="eastAsia"/>
          <w:i/>
          <w:highlight w:val="yellow"/>
        </w:rPr>
        <w:t>3.06</w:t>
      </w:r>
      <w:r>
        <w:rPr>
          <w:i/>
          <w:highlight w:val="yellow"/>
        </w:rPr>
        <w:t xml:space="preserve"> dB at 5%-tile, 50%-tile, and 95%-tile CDF. </w:t>
      </w:r>
      <w:r>
        <w:rPr>
          <w:rFonts w:hint="eastAsia"/>
          <w:i/>
          <w:highlight w:val="yellow"/>
        </w:rPr>
        <w:t xml:space="preserve">NCR could improve the coverage and SINR of the UE compared with gNB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 xml:space="preserve">Generally Ok to capture the observation. Perhaps for </w:t>
            </w:r>
            <w:proofErr w:type="gramStart"/>
            <w:r w:rsidRPr="00587E35">
              <w:rPr>
                <w:rFonts w:ascii="New York" w:hAnsi="New York"/>
              </w:rPr>
              <w:t>source-1</w:t>
            </w:r>
            <w:proofErr w:type="gramEnd"/>
            <w:r w:rsidRPr="00587E35">
              <w:rPr>
                <w:rFonts w:ascii="New York" w:hAnsi="New York"/>
              </w:rPr>
              <w:t>,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w:t>
            </w:r>
            <w:proofErr w:type="gramStart"/>
            <w:r>
              <w:rPr>
                <w:rFonts w:ascii="New York" w:hAnsi="New York"/>
              </w:rPr>
              <w:t>proposal, but</w:t>
            </w:r>
            <w:proofErr w:type="gramEnd"/>
            <w:r>
              <w:rPr>
                <w:rFonts w:ascii="New York" w:hAnsi="New York"/>
              </w:rPr>
              <w:t xml:space="preserve">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65052D" w:rsidRPr="00587E35" w14:paraId="33489C14" w14:textId="77777777">
        <w:trPr>
          <w:trHeight w:val="335"/>
          <w:jc w:val="center"/>
        </w:trPr>
        <w:tc>
          <w:tcPr>
            <w:tcW w:w="1926" w:type="dxa"/>
          </w:tcPr>
          <w:p w14:paraId="57D1DC7E" w14:textId="77777777" w:rsidR="0065052D" w:rsidRDefault="0065052D">
            <w:pPr>
              <w:rPr>
                <w:rFonts w:ascii="New York" w:hAnsi="New York"/>
              </w:rPr>
            </w:pPr>
          </w:p>
        </w:tc>
        <w:tc>
          <w:tcPr>
            <w:tcW w:w="6472" w:type="dxa"/>
          </w:tcPr>
          <w:p w14:paraId="2904AC09" w14:textId="77777777" w:rsidR="0065052D" w:rsidRDefault="0065052D">
            <w:pPr>
              <w:rPr>
                <w:rFonts w:ascii="New York" w:hAnsi="New York"/>
              </w:rPr>
            </w:pP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ListParagraph"/>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Adaptive beam vs Fixed beam for backhaul link</w:t>
      </w:r>
    </w:p>
    <w:p w14:paraId="5DA1F549" w14:textId="77777777" w:rsidR="0010502F" w:rsidRDefault="00065D5B">
      <w:pPr>
        <w:pStyle w:val="ListParagraph"/>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sz w:val="20"/>
          <w:szCs w:val="20"/>
        </w:rPr>
        <w:t>In RAN1</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109e, </w:t>
      </w:r>
      <w:proofErr w:type="gramStart"/>
      <w:r>
        <w:rPr>
          <w:rFonts w:ascii="Times New Roman" w:eastAsiaTheme="minorEastAsia" w:hAnsi="Times New Roman"/>
          <w:sz w:val="20"/>
          <w:szCs w:val="20"/>
        </w:rPr>
        <w:t>both of them</w:t>
      </w:r>
      <w:proofErr w:type="gramEnd"/>
      <w:r>
        <w:rPr>
          <w:rFonts w:ascii="Times New Roman" w:eastAsiaTheme="minorEastAsia" w:hAnsi="Times New Roman"/>
          <w:sz w:val="20"/>
          <w:szCs w:val="20"/>
        </w:rPr>
        <w:t xml:space="preserve"> are supported. </w:t>
      </w:r>
    </w:p>
    <w:p w14:paraId="5DA1F54A" w14:textId="77777777" w:rsidR="0010502F" w:rsidRDefault="00065D5B">
      <w:pPr>
        <w:pStyle w:val="NormalWeb"/>
        <w:shd w:val="clear" w:color="auto" w:fill="FFFFFF"/>
        <w:spacing w:before="0" w:beforeAutospacing="0" w:after="0" w:afterAutospacing="0"/>
        <w:ind w:leftChars="200" w:left="440"/>
        <w:rPr>
          <w:rStyle w:val="Emphasis"/>
          <w:b/>
          <w:bCs/>
          <w:sz w:val="20"/>
          <w:szCs w:val="20"/>
          <w:highlight w:val="green"/>
          <w:shd w:val="clear" w:color="auto" w:fill="FFFF00"/>
        </w:rPr>
      </w:pPr>
      <w:r>
        <w:rPr>
          <w:rStyle w:val="Emphasis"/>
          <w:b/>
          <w:bCs/>
          <w:sz w:val="20"/>
          <w:szCs w:val="20"/>
          <w:highlight w:val="green"/>
        </w:rPr>
        <w:t>Agreement</w:t>
      </w:r>
    </w:p>
    <w:p w14:paraId="5DA1F54B" w14:textId="77777777" w:rsidR="0010502F" w:rsidRPr="00587E35" w:rsidRDefault="00065D5B">
      <w:pPr>
        <w:ind w:leftChars="200" w:left="440"/>
        <w:rPr>
          <w:i/>
        </w:rPr>
      </w:pPr>
      <w:r w:rsidRPr="00587E35">
        <w:rPr>
          <w:i/>
          <w:iCs/>
        </w:rPr>
        <w:t>Both fixed beam and adaptive beam can be considered at NCR for both C-link and backhaul-link.</w:t>
      </w:r>
    </w:p>
    <w:p w14:paraId="5DA1F54C" w14:textId="77777777" w:rsidR="0010502F" w:rsidRDefault="00065D5B">
      <w:pPr>
        <w:pStyle w:val="ListParagraph"/>
        <w:numPr>
          <w:ilvl w:val="0"/>
          <w:numId w:val="17"/>
        </w:numPr>
        <w:snapToGrid w:val="0"/>
        <w:ind w:leftChars="380" w:left="1196"/>
        <w:rPr>
          <w:rFonts w:ascii="Times New Roman" w:eastAsia="Malgun Gothic" w:hAnsi="Times New Roman"/>
          <w:i/>
          <w:sz w:val="20"/>
          <w:szCs w:val="20"/>
        </w:rPr>
      </w:pPr>
      <w:r>
        <w:rPr>
          <w:rFonts w:ascii="Times New Roman" w:eastAsia="Malgun Gothic" w:hAnsi="Times New Roman"/>
          <w:i/>
          <w:iCs/>
          <w:sz w:val="20"/>
          <w:szCs w:val="20"/>
        </w:rPr>
        <w:t>FFS: the mechanism for indication and determination of beam.</w:t>
      </w:r>
    </w:p>
    <w:p w14:paraId="5DA1F54D" w14:textId="77777777" w:rsidR="0010502F" w:rsidRDefault="00065D5B">
      <w:pPr>
        <w:pStyle w:val="ListParagraph"/>
        <w:numPr>
          <w:ilvl w:val="0"/>
          <w:numId w:val="17"/>
        </w:numPr>
        <w:snapToGrid w:val="0"/>
        <w:ind w:leftChars="380" w:left="1196"/>
        <w:rPr>
          <w:rFonts w:ascii="Times New Roman" w:eastAsia="Malgun Gothic" w:hAnsi="Times New Roman"/>
          <w:i/>
          <w:sz w:val="20"/>
          <w:szCs w:val="20"/>
        </w:rPr>
      </w:pPr>
      <w:r>
        <w:rPr>
          <w:rFonts w:ascii="Times New Roman" w:eastAsia="Malgun Gothic" w:hAnsi="Times New Roman"/>
          <w:i/>
          <w:iCs/>
          <w:sz w:val="20"/>
          <w:szCs w:val="20"/>
        </w:rPr>
        <w:t>Note: Fixed beam refers to the case that beam at NCR for both C-link and backhaul-link cannot be changed.</w:t>
      </w:r>
    </w:p>
    <w:p w14:paraId="5DA1F54E" w14:textId="77777777" w:rsidR="0010502F" w:rsidRDefault="00065D5B">
      <w:pPr>
        <w:pStyle w:val="ListParagraph"/>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hint="eastAsia"/>
          <w:sz w:val="20"/>
          <w:szCs w:val="20"/>
        </w:rPr>
        <w:t xml:space="preserve">According to the contribution in this </w:t>
      </w:r>
      <w:proofErr w:type="gramStart"/>
      <w:r>
        <w:rPr>
          <w:rFonts w:ascii="Times New Roman" w:eastAsiaTheme="minorEastAsia" w:hAnsi="Times New Roman" w:hint="eastAsia"/>
          <w:sz w:val="20"/>
          <w:szCs w:val="20"/>
        </w:rPr>
        <w:t>meeting,[</w:t>
      </w:r>
      <w:proofErr w:type="gramEnd"/>
      <w:r>
        <w:rPr>
          <w:rFonts w:ascii="Times New Roman" w:eastAsiaTheme="minorEastAsia" w:hAnsi="Times New Roman" w:hint="eastAsia"/>
          <w:sz w:val="20"/>
          <w:szCs w:val="20"/>
        </w:rPr>
        <w:t xml:space="preserve">Fujitsu, CATT,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w:t>
      </w:r>
      <w:r>
        <w:rPr>
          <w:rFonts w:ascii="Times New Roman" w:eastAsiaTheme="minorEastAsia" w:hAnsi="Times New Roman"/>
          <w:sz w:val="20"/>
          <w:szCs w:val="20"/>
        </w:rPr>
        <w:t>capability, and</w:t>
      </w:r>
      <w:r>
        <w:rPr>
          <w:rFonts w:ascii="Times New Roman" w:eastAsiaTheme="minorEastAsia" w:hAnsi="Times New Roman" w:hint="eastAsia"/>
          <w:sz w:val="20"/>
          <w:szCs w:val="20"/>
        </w:rPr>
        <w:t xml:space="preserve"> a capability information should be reported to gNB to distinguish those two methods[CMCC].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[Ericsson] proposes that architecture with shared repeater-MT and repeater-Fwd antennas on the BS-side should be prioritized such that NCR-Fwd beamforming can rely on NCR-MT </w:t>
      </w:r>
      <w:r>
        <w:rPr>
          <w:rFonts w:ascii="Times New Roman" w:eastAsiaTheme="minorEastAsia" w:hAnsi="Times New Roman"/>
          <w:sz w:val="20"/>
          <w:szCs w:val="20"/>
        </w:rPr>
        <w:t>beamforming</w:t>
      </w:r>
      <w:r>
        <w:rPr>
          <w:rFonts w:ascii="Times New Roman" w:eastAsiaTheme="minorEastAsia" w:hAnsi="Times New Roman" w:hint="eastAsia"/>
          <w:sz w:val="20"/>
          <w:szCs w:val="20"/>
        </w:rPr>
        <w:t xml:space="preserve"> using the legacy UE beamforming framework.</w:t>
      </w:r>
    </w:p>
    <w:p w14:paraId="5DA1F54F" w14:textId="77777777" w:rsidR="0010502F" w:rsidRDefault="00065D5B">
      <w:pPr>
        <w:pStyle w:val="ListParagraph"/>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Beam information, e.g., at least for access link</w:t>
      </w:r>
    </w:p>
    <w:p w14:paraId="5DA1F550" w14:textId="77777777" w:rsidR="0010502F" w:rsidRDefault="00065D5B">
      <w:pPr>
        <w:pStyle w:val="ListParagraph"/>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sz w:val="20"/>
          <w:szCs w:val="20"/>
        </w:rPr>
        <w:t xml:space="preserve">As highlighted by companies including </w:t>
      </w:r>
      <w:r>
        <w:rPr>
          <w:rFonts w:ascii="Times New Roman" w:eastAsiaTheme="minorEastAsia" w:hAnsi="Times New Roman" w:hint="eastAsia"/>
          <w:sz w:val="20"/>
          <w:szCs w:val="20"/>
        </w:rPr>
        <w:t>NCR [ZTE, vivo,</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CATT, NEC,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CMCC,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Ericsson]</w:t>
      </w:r>
      <w:r>
        <w:rPr>
          <w:rFonts w:ascii="Times New Roman" w:eastAsiaTheme="minorEastAsia" w:hAnsi="Times New Roman"/>
          <w:sz w:val="20"/>
          <w:szCs w:val="20"/>
        </w:rPr>
        <w:t xml:space="preserve">, the </w:t>
      </w:r>
      <w:r>
        <w:rPr>
          <w:rFonts w:ascii="Times New Roman" w:eastAsiaTheme="minorEastAsia" w:hAnsi="Times New Roman" w:hint="eastAsia"/>
          <w:sz w:val="20"/>
          <w:szCs w:val="20"/>
        </w:rPr>
        <w:t xml:space="preserve">capability </w:t>
      </w:r>
      <w:r>
        <w:rPr>
          <w:rFonts w:ascii="Times New Roman" w:eastAsiaTheme="minorEastAsia" w:hAnsi="Times New Roman"/>
          <w:sz w:val="20"/>
          <w:szCs w:val="20"/>
        </w:rPr>
        <w:t xml:space="preserve">should be defined regarding the NCR’s beam for access link. The detailed information includes </w:t>
      </w:r>
      <w:r>
        <w:rPr>
          <w:rFonts w:ascii="Times New Roman" w:eastAsiaTheme="minorEastAsia" w:hAnsi="Times New Roman" w:hint="eastAsia"/>
          <w:sz w:val="20"/>
          <w:szCs w:val="20"/>
        </w:rPr>
        <w:t xml:space="preserve">the number of supported beams should be considered [ZTE, vivo, CATT, NEC, 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[CATT, NEC, Intel</w:t>
      </w:r>
      <w:r>
        <w:rPr>
          <w:rFonts w:ascii="Times New Roman" w:eastAsiaTheme="minorEastAsia" w:hAnsi="Times New Roman"/>
          <w:sz w:val="20"/>
          <w:szCs w:val="20"/>
        </w:rPr>
        <w:t>] mention</w:t>
      </w:r>
      <w:r>
        <w:rPr>
          <w:rFonts w:ascii="Times New Roman" w:eastAsiaTheme="minorEastAsia" w:hAnsi="Times New Roman" w:hint="eastAsia"/>
          <w:sz w:val="20"/>
          <w:szCs w:val="20"/>
        </w:rPr>
        <w:t xml:space="preserve"> that the beam width, beam direction, and beam type can also be considered, and [Ericsson] mentions </w:t>
      </w:r>
      <w:r>
        <w:rPr>
          <w:rFonts w:ascii="Times New Roman" w:eastAsiaTheme="minorEastAsia" w:hAnsi="Times New Roman"/>
          <w:sz w:val="20"/>
          <w:szCs w:val="20"/>
        </w:rPr>
        <w:t xml:space="preserve">the </w:t>
      </w:r>
      <w:r>
        <w:rPr>
          <w:rFonts w:ascii="Times New Roman" w:eastAsiaTheme="minorEastAsia" w:hAnsi="Times New Roman"/>
          <w:sz w:val="20"/>
          <w:szCs w:val="20"/>
        </w:rPr>
        <w:lastRenderedPageBreak/>
        <w:t>reciprocity</w:t>
      </w:r>
      <w:r>
        <w:rPr>
          <w:rFonts w:ascii="Times New Roman" w:eastAsiaTheme="minorEastAsia" w:hAnsi="Times New Roman" w:hint="eastAsia"/>
          <w:sz w:val="20"/>
          <w:szCs w:val="20"/>
        </w:rPr>
        <w:t xml:space="preserve">/non-reciprocity </w:t>
      </w:r>
      <w:r>
        <w:rPr>
          <w:rFonts w:ascii="Times New Roman" w:eastAsiaTheme="minorEastAsia" w:hAnsi="Times New Roman"/>
          <w:sz w:val="20"/>
          <w:szCs w:val="20"/>
        </w:rPr>
        <w:t>and coherent</w:t>
      </w:r>
      <w:r>
        <w:rPr>
          <w:rFonts w:ascii="Times New Roman" w:eastAsiaTheme="minorEastAsia" w:hAnsi="Times New Roman" w:hint="eastAsia"/>
          <w:sz w:val="20"/>
          <w:szCs w:val="20"/>
        </w:rPr>
        <w:t>/non-coherent codebooks can also be reported.</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Besides, the maximum number of beams for access links is also concerned by companies</w:t>
      </w:r>
      <w:r>
        <w:rPr>
          <w:rFonts w:ascii="Times New Roman" w:eastAsiaTheme="minorEastAsia" w:hAnsi="Times New Roman"/>
          <w:sz w:val="20"/>
          <w:szCs w:val="20"/>
        </w:rPr>
        <w:t xml:space="preserve"> [Huawei, CATT]</w:t>
      </w:r>
    </w:p>
    <w:p w14:paraId="5DA1F551" w14:textId="77777777" w:rsidR="0010502F" w:rsidRDefault="00065D5B">
      <w:pPr>
        <w:pStyle w:val="ListParagraph"/>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hen, from FL’s perspective, the following proposal is proposed</w:t>
      </w:r>
      <w:r>
        <w:rPr>
          <w:rFonts w:ascii="Times New Roman" w:eastAsiaTheme="minorEastAsia" w:hAnsi="Times New Roman"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ListParagraph"/>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backhaul link:</w:t>
      </w:r>
    </w:p>
    <w:p w14:paraId="5DA1F554" w14:textId="77777777" w:rsidR="0010502F" w:rsidRDefault="00065D5B" w:rsidP="00A2328C">
      <w:pPr>
        <w:pStyle w:val="ListParagraph"/>
        <w:numPr>
          <w:ilvl w:val="2"/>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Adaptive beam or fixed beam for backhaul link at NCR-Fwd</w:t>
      </w:r>
    </w:p>
    <w:p w14:paraId="5DA1F555" w14:textId="77777777" w:rsidR="0010502F" w:rsidRDefault="00065D5B">
      <w:pPr>
        <w:pStyle w:val="ListParagraph"/>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access link including number of supported beams, beam type</w:t>
      </w:r>
      <w:r>
        <w:rPr>
          <w:rFonts w:ascii="Times New Roman" w:eastAsiaTheme="minorEastAsia" w:hAnsi="Times New Roman"/>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 xml:space="preserve">Suggest </w:t>
            </w:r>
            <w:proofErr w:type="gramStart"/>
            <w:r w:rsidRPr="00587E35">
              <w:rPr>
                <w:rFonts w:ascii="New York" w:hAnsi="New York"/>
              </w:rPr>
              <w:t>to modify</w:t>
            </w:r>
            <w:proofErr w:type="gramEnd"/>
            <w:r w:rsidRPr="00587E35">
              <w:rPr>
                <w:rFonts w:ascii="New York" w:hAnsi="New York"/>
              </w:rPr>
              <w:t xml:space="preserve"> the proposal as “</w:t>
            </w:r>
            <w:r w:rsidRPr="00587E35">
              <w:rPr>
                <w:rFonts w:ascii="Times New Roman" w:eastAsia="Malgun Gothic" w:hAnsi="Times New Roman"/>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ascii="Times New Roman" w:eastAsia="Malgun Gothic" w:hAnsi="Times New Roman"/>
                <w:i/>
                <w:iCs/>
                <w:highlight w:val="yellow"/>
              </w:rPr>
              <w:t>…</w:t>
            </w:r>
            <w:r w:rsidRPr="00587E35">
              <w:rPr>
                <w:rFonts w:ascii="New York" w:hAnsi="New York"/>
              </w:rPr>
              <w:t>” and “</w:t>
            </w:r>
            <w:r w:rsidRPr="00587E35">
              <w:rPr>
                <w:rFonts w:ascii="Times New Roman" w:eastAsia="Malgun Gothic" w:hAnsi="Times New Roman"/>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ascii="Times New Roman" w:eastAsia="Malgun Gothic" w:hAnsi="Times New Roman"/>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ListParagraph"/>
        <w:numPr>
          <w:ilvl w:val="0"/>
          <w:numId w:val="18"/>
        </w:numPr>
        <w:snapToGrid w:val="0"/>
        <w:spacing w:beforeLines="50" w:before="120" w:afterLines="50" w:after="120"/>
        <w:rPr>
          <w:rFonts w:eastAsiaTheme="minorEastAsia"/>
        </w:rPr>
      </w:pPr>
      <w:r>
        <w:rPr>
          <w:rFonts w:ascii="Times New Roman" w:eastAsiaTheme="minorEastAsia" w:hAnsi="Times New Roman"/>
          <w:b/>
          <w:i/>
          <w:sz w:val="20"/>
          <w:szCs w:val="20"/>
          <w:u w:val="single"/>
        </w:rPr>
        <w:t xml:space="preserve">NCR-UE link (i.e., </w:t>
      </w:r>
      <w:r>
        <w:rPr>
          <w:rFonts w:ascii="Times New Roman" w:eastAsiaTheme="minorEastAsia" w:hAnsi="Times New Roman" w:hint="eastAsia"/>
          <w:b/>
          <w:i/>
          <w:sz w:val="20"/>
          <w:szCs w:val="20"/>
          <w:u w:val="single"/>
        </w:rPr>
        <w:t>access link</w:t>
      </w:r>
      <w:r>
        <w:rPr>
          <w:rFonts w:ascii="Times New Roman" w:eastAsiaTheme="minorEastAsia" w:hAnsi="Times New Roman"/>
          <w:b/>
          <w:i/>
          <w:sz w:val="20"/>
          <w:szCs w:val="20"/>
          <w:u w:val="single"/>
        </w:rPr>
        <w:t>)</w:t>
      </w:r>
    </w:p>
    <w:p w14:paraId="5DA1F569" w14:textId="77777777" w:rsidR="0010502F" w:rsidRPr="00587E35" w:rsidRDefault="00065D5B">
      <w:pPr>
        <w:snapToGrid w:val="0"/>
        <w:spacing w:beforeLines="50" w:before="120" w:after="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40"/>
        <w:rPr>
          <w:rFonts w:eastAsia="Malgun Gothic" w:cs="Times"/>
          <w:i/>
          <w:highlight w:val="green"/>
          <w:lang w:eastAsia="ja-JP"/>
        </w:rPr>
      </w:pPr>
      <w:r w:rsidRPr="00587E35">
        <w:rPr>
          <w:rFonts w:cs="Times"/>
          <w:b/>
          <w:bCs/>
          <w:i/>
          <w:highlight w:val="green"/>
          <w:lang w:eastAsia="ja-JP"/>
        </w:rPr>
        <w:lastRenderedPageBreak/>
        <w:t>Agreement</w:t>
      </w:r>
    </w:p>
    <w:p w14:paraId="5DA1F56B" w14:textId="77777777" w:rsidR="0010502F" w:rsidRPr="00587E35" w:rsidRDefault="00065D5B">
      <w:pPr>
        <w:snapToGrid w:val="0"/>
        <w:spacing w:after="0"/>
        <w:ind w:leftChars="200" w:left="440"/>
        <w:rPr>
          <w:rFonts w:eastAsia="Yu Mincho" w:cs="Times"/>
          <w:i/>
          <w:iCs/>
          <w:lang w:eastAsia="ja-JP"/>
        </w:rPr>
      </w:pPr>
      <w:r w:rsidRPr="00587E35">
        <w:rPr>
          <w:rFonts w:eastAsia="Yu Mincho" w:cs="Times"/>
          <w:i/>
          <w:iCs/>
          <w:lang w:eastAsia="ja-JP"/>
        </w:rPr>
        <w:t>In the access link beam indication, an access link beam can be indicated by:</w:t>
      </w:r>
    </w:p>
    <w:p w14:paraId="5DA1F56C" w14:textId="77777777" w:rsidR="0010502F" w:rsidRDefault="00065D5B">
      <w:pPr>
        <w:numPr>
          <w:ilvl w:val="0"/>
          <w:numId w:val="19"/>
        </w:numPr>
        <w:snapToGrid w:val="0"/>
        <w:spacing w:after="0"/>
        <w:ind w:leftChars="380" w:left="1196"/>
        <w:rPr>
          <w:rFonts w:eastAsia="Yu Mincho" w:cs="Times"/>
          <w:i/>
          <w:iCs/>
          <w:lang w:eastAsia="ja-JP"/>
        </w:rPr>
      </w:pPr>
      <w:r>
        <w:rPr>
          <w:rFonts w:eastAsia="Yu Mincho" w:cs="Times"/>
          <w:i/>
          <w:iCs/>
          <w:lang w:eastAsia="ja-JP"/>
        </w:rPr>
        <w:t>Option 1: A beam index</w:t>
      </w:r>
    </w:p>
    <w:p w14:paraId="5DA1F56D" w14:textId="77777777" w:rsidR="0010502F" w:rsidRPr="00587E35" w:rsidRDefault="00065D5B">
      <w:pPr>
        <w:numPr>
          <w:ilvl w:val="1"/>
          <w:numId w:val="19"/>
        </w:numPr>
        <w:snapToGrid w:val="0"/>
        <w:spacing w:after="0"/>
        <w:ind w:leftChars="740" w:left="1988"/>
        <w:rPr>
          <w:rFonts w:eastAsia="Yu Mincho" w:cs="Times"/>
          <w:i/>
          <w:iCs/>
          <w:lang w:eastAsia="ja-JP"/>
        </w:rPr>
      </w:pPr>
      <w:r w:rsidRPr="00587E35">
        <w:rPr>
          <w:rFonts w:eastAsia="Yu Mincho" w:cs="Times"/>
          <w:i/>
          <w:iCs/>
          <w:lang w:eastAsia="ja-JP"/>
        </w:rPr>
        <w:t xml:space="preserve">FFS: How to indicate the corresponding time domain resource of the beam. </w:t>
      </w:r>
    </w:p>
    <w:p w14:paraId="5DA1F56E" w14:textId="77777777" w:rsidR="0010502F" w:rsidRPr="00587E35" w:rsidRDefault="00065D5B">
      <w:pPr>
        <w:numPr>
          <w:ilvl w:val="0"/>
          <w:numId w:val="19"/>
        </w:numPr>
        <w:snapToGrid w:val="0"/>
        <w:spacing w:after="0"/>
        <w:ind w:leftChars="380" w:left="1196"/>
        <w:rPr>
          <w:rFonts w:eastAsia="Yu Mincho" w:cs="Times"/>
          <w:i/>
          <w:iCs/>
          <w:lang w:eastAsia="ja-JP"/>
        </w:rPr>
      </w:pPr>
      <w:r w:rsidRPr="00587E35">
        <w:rPr>
          <w:rFonts w:eastAsia="Yu Mincho" w:cs="Times"/>
          <w:i/>
          <w:iCs/>
          <w:lang w:eastAsia="ja-JP"/>
        </w:rPr>
        <w:t>Option 2: An index of a source RS (</w:t>
      </w:r>
      <w:proofErr w:type="gramStart"/>
      <w:r w:rsidRPr="00587E35">
        <w:rPr>
          <w:rFonts w:eastAsia="Yu Mincho" w:cs="Times"/>
          <w:i/>
          <w:iCs/>
          <w:lang w:eastAsia="ja-JP"/>
        </w:rPr>
        <w:t>e.g.</w:t>
      </w:r>
      <w:proofErr w:type="gramEnd"/>
      <w:r w:rsidRPr="00587E35">
        <w:rPr>
          <w:rFonts w:eastAsia="Yu Mincho" w:cs="Times"/>
          <w:i/>
          <w:iCs/>
          <w:lang w:eastAsia="ja-JP"/>
        </w:rPr>
        <w:t xml:space="preserve"> a TCI-like indicator</w:t>
      </w:r>
      <w:r w:rsidRPr="00587E35">
        <w:rPr>
          <w:rFonts w:eastAsia="Malgun Gothic" w:cs="Times"/>
          <w:i/>
          <w:iCs/>
        </w:rPr>
        <w:t>)</w:t>
      </w:r>
    </w:p>
    <w:p w14:paraId="5DA1F56F" w14:textId="77777777" w:rsidR="0010502F" w:rsidRPr="00587E35" w:rsidRDefault="00065D5B">
      <w:pPr>
        <w:numPr>
          <w:ilvl w:val="1"/>
          <w:numId w:val="19"/>
        </w:numPr>
        <w:snapToGrid w:val="0"/>
        <w:spacing w:after="0"/>
        <w:ind w:leftChars="740" w:left="1988"/>
        <w:rPr>
          <w:rFonts w:eastAsia="Yu Mincho" w:cs="Times"/>
          <w:i/>
          <w:iCs/>
          <w:lang w:eastAsia="ja-JP"/>
        </w:rPr>
      </w:pPr>
      <w:r w:rsidRPr="00587E35">
        <w:rPr>
          <w:rFonts w:eastAsia="Yu Mincho" w:cs="Times"/>
          <w:i/>
          <w:iCs/>
          <w:lang w:eastAsia="ja-JP"/>
        </w:rPr>
        <w:t xml:space="preserve">FFS: The definition of </w:t>
      </w:r>
      <w:r>
        <w:rPr>
          <w:rFonts w:eastAsia="Yu Mincho" w:cs="Times"/>
          <w:i/>
          <w:iCs/>
          <w:lang w:eastAsia="ja-JP"/>
        </w:rPr>
        <w:t xml:space="preserve">the </w:t>
      </w:r>
      <w:r w:rsidRPr="00587E35">
        <w:rPr>
          <w:rFonts w:eastAsia="Yu Mincho" w:cs="Times"/>
          <w:i/>
          <w:iCs/>
          <w:lang w:eastAsia="ja-JP"/>
        </w:rPr>
        <w:t xml:space="preserve">source RS. </w:t>
      </w:r>
    </w:p>
    <w:p w14:paraId="5DA1F570" w14:textId="77777777" w:rsidR="0010502F" w:rsidRPr="00587E35" w:rsidRDefault="00065D5B">
      <w:pPr>
        <w:numPr>
          <w:ilvl w:val="1"/>
          <w:numId w:val="19"/>
        </w:numPr>
        <w:snapToGrid w:val="0"/>
        <w:spacing w:after="0"/>
        <w:ind w:leftChars="740" w:left="1988"/>
        <w:rPr>
          <w:rFonts w:eastAsia="Yu Mincho" w:cs="Times"/>
          <w:i/>
          <w:iCs/>
          <w:lang w:eastAsia="ja-JP"/>
        </w:rPr>
      </w:pPr>
      <w:r w:rsidRPr="00587E35">
        <w:rPr>
          <w:rFonts w:eastAsia="Yu Mincho" w:cs="Times"/>
          <w:i/>
          <w:iCs/>
          <w:lang w:eastAsia="ja-JP"/>
        </w:rPr>
        <w:t>FFS: How to indicate the corresponding time domain resource of the beam.</w:t>
      </w:r>
    </w:p>
    <w:p w14:paraId="5DA1F571" w14:textId="77777777" w:rsidR="0010502F" w:rsidRPr="00587E35" w:rsidRDefault="00065D5B">
      <w:pPr>
        <w:numPr>
          <w:ilvl w:val="1"/>
          <w:numId w:val="19"/>
        </w:numPr>
        <w:snapToGrid w:val="0"/>
        <w:spacing w:after="0"/>
        <w:ind w:leftChars="740" w:left="1988"/>
        <w:rPr>
          <w:rFonts w:eastAsia="Yu Mincho" w:cs="Times"/>
          <w:i/>
          <w:iCs/>
          <w:lang w:eastAsia="ja-JP"/>
        </w:rPr>
      </w:pPr>
      <w:r w:rsidRPr="00587E35">
        <w:rPr>
          <w:rFonts w:eastAsia="Yu Mincho" w:cs="Times"/>
          <w:i/>
          <w:iCs/>
          <w:lang w:eastAsia="ja-JP"/>
        </w:rPr>
        <w:t>FFS: The definition of the association between the source RS and the beam.</w:t>
      </w:r>
    </w:p>
    <w:p w14:paraId="5DA1F572" w14:textId="77777777" w:rsidR="0010502F" w:rsidRPr="00587E35" w:rsidRDefault="00065D5B">
      <w:pPr>
        <w:numPr>
          <w:ilvl w:val="0"/>
          <w:numId w:val="19"/>
        </w:numPr>
        <w:snapToGrid w:val="0"/>
        <w:spacing w:after="0"/>
        <w:ind w:leftChars="380" w:left="1196"/>
        <w:rPr>
          <w:rFonts w:eastAsia="Yu Mincho" w:cs="Times"/>
          <w:i/>
          <w:iCs/>
          <w:lang w:eastAsia="ja-JP"/>
        </w:rPr>
      </w:pPr>
      <w:r w:rsidRPr="00587E35">
        <w:rPr>
          <w:rFonts w:eastAsia="Yu Mincho" w:cs="Times"/>
          <w:i/>
          <w:iCs/>
          <w:lang w:eastAsia="ja-JP"/>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spacing w:after="0"/>
        <w:ind w:leftChars="200" w:left="440"/>
        <w:rPr>
          <w:rFonts w:eastAsia="Yu Mincho" w:cs="Times"/>
          <w:i/>
          <w:iCs/>
          <w:lang w:eastAsia="ja-JP"/>
        </w:rPr>
      </w:pPr>
      <w:r w:rsidRPr="00587E35">
        <w:rPr>
          <w:rFonts w:eastAsia="Yu Mincho" w:cs="Times"/>
          <w:i/>
          <w:iCs/>
          <w:lang w:eastAsia="ja-JP"/>
        </w:rPr>
        <w:t>RAN1 to select one of the two options, combine the two options, or select both options in RAN1#110</w:t>
      </w:r>
    </w:p>
    <w:p w14:paraId="5DA1F574" w14:textId="77777777" w:rsidR="0010502F" w:rsidRPr="00587E35" w:rsidRDefault="00065D5B">
      <w:pPr>
        <w:snapToGrid w:val="0"/>
        <w:spacing w:beforeLines="50" w:before="120" w:after="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ListParagraph"/>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Option1</w:t>
      </w:r>
      <w:r>
        <w:rPr>
          <w:rFonts w:ascii="Times New Roman" w:eastAsiaTheme="minorEastAsia" w:hAnsi="Times New Roman"/>
          <w:sz w:val="20"/>
          <w:szCs w:val="20"/>
        </w:rPr>
        <w:t xml:space="preserve">: Implicitly aligned with the </w:t>
      </w:r>
      <w:r>
        <w:rPr>
          <w:rFonts w:ascii="Times New Roman" w:eastAsiaTheme="minorEastAsia" w:hAnsi="Times New Roman" w:hint="eastAsia"/>
          <w:sz w:val="20"/>
          <w:szCs w:val="20"/>
        </w:rPr>
        <w:t>beam indication</w:t>
      </w:r>
      <w:r>
        <w:rPr>
          <w:rFonts w:ascii="Times New Roman" w:eastAsiaTheme="minorEastAsia" w:hAnsi="Times New Roman"/>
          <w:sz w:val="20"/>
          <w:szCs w:val="20"/>
        </w:rPr>
        <w:t>. [</w:t>
      </w:r>
      <w:r>
        <w:rPr>
          <w:rFonts w:ascii="Times New Roman" w:eastAsiaTheme="minorEastAsia" w:hAnsi="Times New Roman" w:hint="eastAsia"/>
          <w:sz w:val="20"/>
          <w:szCs w:val="20"/>
        </w:rPr>
        <w:t>ZTE</w:t>
      </w:r>
      <w:r>
        <w:rPr>
          <w:rFonts w:ascii="Times New Roman" w:eastAsiaTheme="minorEastAsia" w:hAnsi="Times New Roman"/>
          <w:sz w:val="20"/>
          <w:szCs w:val="20"/>
        </w:rPr>
        <w:t>, CMCC</w:t>
      </w:r>
      <w:r>
        <w:rPr>
          <w:rFonts w:ascii="Times New Roman" w:eastAsiaTheme="minorEastAsia" w:hAnsi="Times New Roman" w:hint="eastAsia"/>
          <w:sz w:val="20"/>
          <w:szCs w:val="20"/>
        </w:rPr>
        <w:t>, Intel</w:t>
      </w:r>
      <w:r>
        <w:rPr>
          <w:rFonts w:ascii="Times New Roman" w:eastAsiaTheme="minorEastAsia" w:hAnsi="Times New Roman"/>
          <w:sz w:val="20"/>
          <w:szCs w:val="20"/>
        </w:rPr>
        <w:t>, DCM</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In this way, the beam will be applied over the time resource until another indication </w:t>
      </w:r>
    </w:p>
    <w:p w14:paraId="5DA1F576" w14:textId="77777777" w:rsidR="0010502F" w:rsidRDefault="00065D5B">
      <w:pPr>
        <w:pStyle w:val="ListParagraph"/>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Option2</w:t>
      </w:r>
      <w:r>
        <w:rPr>
          <w:rFonts w:ascii="Times New Roman" w:eastAsiaTheme="minorEastAsia" w:hAnsi="Times New Roman"/>
          <w:sz w:val="20"/>
          <w:szCs w:val="20"/>
        </w:rPr>
        <w:t>: Explicitly</w:t>
      </w:r>
      <w:r>
        <w:rPr>
          <w:rFonts w:ascii="Times New Roman" w:eastAsiaTheme="minorEastAsia" w:hAnsi="Times New Roman" w:hint="eastAsia"/>
          <w:sz w:val="20"/>
          <w:szCs w:val="20"/>
        </w:rPr>
        <w:t xml:space="preserve"> indicat</w:t>
      </w:r>
      <w:r>
        <w:rPr>
          <w:rFonts w:ascii="Times New Roman" w:eastAsiaTheme="minorEastAsia" w:hAnsi="Times New Roman"/>
          <w:sz w:val="20"/>
          <w:szCs w:val="20"/>
        </w:rPr>
        <w:t>e the starting time unit and duration for each beam</w:t>
      </w:r>
    </w:p>
    <w:p w14:paraId="5DA1F577" w14:textId="77777777" w:rsidR="0010502F" w:rsidRDefault="00065D5B">
      <w:pPr>
        <w:pStyle w:val="ListParagraph"/>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 xml:space="preserve">In this way, these parameters can be indicated via </w:t>
      </w:r>
      <w:r>
        <w:rPr>
          <w:rFonts w:ascii="Times New Roman" w:eastAsiaTheme="minorEastAsia" w:hAnsi="Times New Roman" w:hint="eastAsia"/>
          <w:sz w:val="20"/>
          <w:szCs w:val="20"/>
        </w:rPr>
        <w:t>additional field, e.g., SLIV. [ZTE,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w:t>
      </w:r>
    </w:p>
    <w:p w14:paraId="5DA1F578" w14:textId="77777777" w:rsidR="0010502F" w:rsidRDefault="00065D5B">
      <w:pPr>
        <w:pStyle w:val="ListParagraph"/>
        <w:numPr>
          <w:ilvl w:val="1"/>
          <w:numId w:val="20"/>
        </w:numPr>
        <w:snapToGrid w:val="0"/>
        <w:spacing w:beforeLines="50" w:before="120" w:afterLines="50" w:after="120"/>
        <w:rPr>
          <w:rFonts w:eastAsiaTheme="minorEastAsia"/>
        </w:rPr>
      </w:pPr>
      <w:r>
        <w:rPr>
          <w:rFonts w:ascii="Times New Roman" w:eastAsiaTheme="minorEastAsia" w:hAnsi="Times New Roman"/>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after="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4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ListParagraph"/>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ListParagraph"/>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afterLines="50" w:after="120"/>
              <w:ind w:leftChars="200" w:left="440"/>
              <w:rPr>
                <w:rFonts w:ascii="New York" w:hAnsi="New York"/>
                <w:bCs/>
                <w:i/>
                <w:iCs/>
                <w:highlight w:val="yellow"/>
              </w:rPr>
            </w:pPr>
            <w:r w:rsidRPr="00587E35">
              <w:rPr>
                <w:rFonts w:ascii="New York" w:hAnsi="New York"/>
                <w:b/>
                <w:bCs/>
                <w:i/>
                <w:iCs/>
                <w:highlight w:val="yellow"/>
              </w:rPr>
              <w:lastRenderedPageBreak/>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ListParagraph"/>
              <w:numPr>
                <w:ilvl w:val="1"/>
                <w:numId w:val="21"/>
              </w:numPr>
              <w:snapToGrid w:val="0"/>
              <w:spacing w:beforeLines="5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w:t>
            </w:r>
            <w:del w:id="14" w:author="zhe chen/PHY Research &amp; Standard Lab /SRC-Beijing/Staff Engineer/Samsung Electronics" w:date="2022-08-21T15:51:00Z">
              <w:r>
                <w:rPr>
                  <w:rFonts w:ascii="Times New Roman" w:hAnsi="Times New Roman"/>
                  <w:bCs/>
                  <w:i/>
                  <w:iCs/>
                  <w:sz w:val="20"/>
                  <w:szCs w:val="20"/>
                  <w:highlight w:val="yellow"/>
                </w:rPr>
                <w:delText>the starting time unit, the duration</w:delText>
              </w:r>
            </w:del>
            <w:ins w:id="15" w:author="zhe chen/PHY Research &amp; Standard Lab /SRC-Beijing/Staff Engineer/Samsung Electronics" w:date="2022-08-21T15:51:00Z">
              <w:r>
                <w:rPr>
                  <w:rFonts w:ascii="Times New Roman" w:hAnsi="Times New Roman"/>
                  <w:bCs/>
                  <w:i/>
                  <w:iCs/>
                  <w:sz w:val="20"/>
                  <w:szCs w:val="20"/>
                  <w:highlight w:val="yellow"/>
                </w:rPr>
                <w:t>time domain resource</w:t>
              </w:r>
            </w:ins>
            <w:r>
              <w:rPr>
                <w:rFonts w:ascii="Times New Roman" w:hAnsi="Times New Roman"/>
                <w:bCs/>
                <w:i/>
                <w:iCs/>
                <w:sz w:val="20"/>
                <w:szCs w:val="20"/>
                <w:highlight w:val="yellow"/>
              </w:rPr>
              <w:t xml:space="preserve"> (e.g., via SLIV</w:t>
            </w:r>
            <w:ins w:id="16" w:author="zhe chen/PHY Research &amp; Standard Lab /SRC-Beijing/Staff Engineer/Samsung Electronics" w:date="2022-08-21T15:51:00Z">
              <w:r>
                <w:rPr>
                  <w:rFonts w:ascii="Times New Roman" w:hAnsi="Times New Roman"/>
                  <w:bCs/>
                  <w:i/>
                  <w:iCs/>
                  <w:sz w:val="20"/>
                  <w:szCs w:val="20"/>
                  <w:highlight w:val="yellow"/>
                </w:rPr>
                <w:t>, slot indexes</w:t>
              </w:r>
            </w:ins>
            <w:r>
              <w:rPr>
                <w:rFonts w:ascii="Times New Roman" w:hAnsi="Times New Roman"/>
                <w:bCs/>
                <w:i/>
                <w:iCs/>
                <w:sz w:val="20"/>
                <w:szCs w:val="20"/>
                <w:highlight w:val="yellow"/>
              </w:rPr>
              <w:t>) and/or periodicity per beam indication</w:t>
            </w:r>
          </w:p>
          <w:p w14:paraId="5DA1F588" w14:textId="77777777" w:rsidR="0010502F" w:rsidRDefault="00065D5B">
            <w:pPr>
              <w:pStyle w:val="ListParagraph"/>
              <w:numPr>
                <w:ilvl w:val="1"/>
                <w:numId w:val="21"/>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89" w14:textId="77777777" w:rsidR="0010502F" w:rsidRDefault="00065D5B">
            <w:pPr>
              <w:pStyle w:val="ListParagraph"/>
              <w:numPr>
                <w:ilvl w:val="1"/>
                <w:numId w:val="21"/>
              </w:numPr>
              <w:snapToGrid w:val="0"/>
              <w:spacing w:beforeLines="50" w:afterLines="50" w:after="120"/>
              <w:rPr>
                <w:rFonts w:ascii="Times New Roman" w:hAnsi="Times New Roman"/>
                <w:bCs/>
                <w:i/>
                <w:iCs/>
                <w:sz w:val="20"/>
                <w:szCs w:val="20"/>
                <w:highlight w:val="yellow"/>
              </w:rPr>
            </w:pPr>
            <w:ins w:id="18" w:author="zhe chen/PHY Research &amp; Standard Lab /SRC-Beijing/Staff Engineer/Samsung Electronics" w:date="2022-08-21T15:45:00Z">
              <w:r>
                <w:rPr>
                  <w:rFonts w:ascii="Times New Roman" w:eastAsiaTheme="minorEastAsia" w:hAnsi="Times New Roman" w:hint="eastAsia"/>
                  <w:bCs/>
                  <w:i/>
                  <w:iCs/>
                  <w:sz w:val="20"/>
                  <w:szCs w:val="20"/>
                  <w:highlight w:val="yellow"/>
                </w:rPr>
                <w:t>O</w:t>
              </w:r>
              <w:r>
                <w:rPr>
                  <w:rFonts w:ascii="Times New Roman" w:eastAsiaTheme="minorEastAsia" w:hAnsi="Times New Roman"/>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bl>
    <w:p w14:paraId="5DA1F598" w14:textId="77777777" w:rsidR="0010502F" w:rsidRDefault="00065D5B">
      <w:pPr>
        <w:pStyle w:val="ListParagraph"/>
        <w:snapToGrid w:val="0"/>
        <w:spacing w:beforeLines="50" w:before="120"/>
        <w:ind w:left="420"/>
        <w:rPr>
          <w:rFonts w:ascii="Times New Roman" w:eastAsiaTheme="minorEastAsia" w:hAnsi="Times New Roman"/>
          <w:sz w:val="20"/>
          <w:szCs w:val="20"/>
        </w:rPr>
      </w:pPr>
      <w:r>
        <w:rPr>
          <w:rFonts w:ascii="Times New Roman" w:eastAsiaTheme="minorEastAsia" w:hAnsi="Times New Roman"/>
          <w:sz w:val="20"/>
          <w:szCs w:val="20"/>
        </w:rPr>
        <w:t>Regarding how to represent the beam information</w:t>
      </w:r>
      <w:r>
        <w:rPr>
          <w:rFonts w:ascii="Times New Roman" w:eastAsiaTheme="minorEastAsia" w:hAnsi="Times New Roman" w:hint="eastAsia"/>
          <w:sz w:val="20"/>
          <w:szCs w:val="20"/>
        </w:rPr>
        <w:t xml:space="preserve">, two options </w:t>
      </w:r>
      <w:r>
        <w:rPr>
          <w:rFonts w:ascii="Times New Roman" w:eastAsiaTheme="minorEastAsia" w:hAnsi="Times New Roman"/>
          <w:sz w:val="20"/>
          <w:szCs w:val="20"/>
        </w:rPr>
        <w:t>(beam</w:t>
      </w:r>
      <w:r>
        <w:rPr>
          <w:rFonts w:ascii="Times New Roman" w:eastAsiaTheme="minorEastAsia" w:hAnsi="Times New Roman" w:hint="eastAsia"/>
          <w:sz w:val="20"/>
          <w:szCs w:val="20"/>
        </w:rPr>
        <w:t xml:space="preserve"> index or source RS ID)</w:t>
      </w:r>
      <w:r>
        <w:rPr>
          <w:rFonts w:ascii="Times New Roman" w:eastAsiaTheme="minorEastAsia" w:hAnsi="Times New Roman"/>
          <w:sz w:val="20"/>
          <w:szCs w:val="20"/>
        </w:rPr>
        <w:t xml:space="preserve"> including definition of RS, a</w:t>
      </w:r>
      <w:r>
        <w:rPr>
          <w:rFonts w:ascii="Times New Roman" w:eastAsiaTheme="minorEastAsia" w:hAnsi="Times New Roman" w:hint="eastAsia"/>
          <w:sz w:val="20"/>
          <w:szCs w:val="20"/>
        </w:rPr>
        <w:t>ccording to contributions in RAN1#110 meeting, following views are share by companies:</w:t>
      </w:r>
    </w:p>
    <w:p w14:paraId="5DA1F599"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 [</w:t>
      </w:r>
      <w:proofErr w:type="spellStart"/>
      <w:r>
        <w:rPr>
          <w:rFonts w:ascii="Times New Roman" w:eastAsiaTheme="minorEastAsia" w:hAnsi="Times New Roman"/>
          <w:sz w:val="20"/>
          <w:szCs w:val="20"/>
        </w:rPr>
        <w:t>Spreadtrum</w:t>
      </w:r>
      <w:proofErr w:type="spellEnd"/>
      <w:r>
        <w:rPr>
          <w:rFonts w:ascii="Times New Roman" w:eastAsiaTheme="minorEastAsia" w:hAnsi="Times New Roman"/>
          <w:sz w:val="20"/>
          <w:szCs w:val="20"/>
        </w:rPr>
        <w:t xml:space="preserve">, </w:t>
      </w:r>
      <w:proofErr w:type="spellStart"/>
      <w:proofErr w:type="gramStart"/>
      <w:r>
        <w:rPr>
          <w:rFonts w:ascii="Times New Roman" w:eastAsiaTheme="minorEastAsia" w:hAnsi="Times New Roman"/>
          <w:sz w:val="20"/>
          <w:szCs w:val="20"/>
        </w:rPr>
        <w:t>ZTE,Fujitsu</w:t>
      </w:r>
      <w:proofErr w:type="spellEnd"/>
      <w:proofErr w:type="gramEnd"/>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NEC,Intel</w:t>
      </w:r>
      <w:proofErr w:type="spellEnd"/>
      <w:r>
        <w:rPr>
          <w:rFonts w:ascii="Times New Roman" w:eastAsiaTheme="minorEastAsia" w:hAnsi="Times New Roman"/>
          <w:sz w:val="20"/>
          <w:szCs w:val="20"/>
        </w:rPr>
        <w:t>, Qualcomm, Ericsson] prefer the beam index is used to indicate the beam for access link due to less impact on specification and overhead;</w:t>
      </w:r>
    </w:p>
    <w:p w14:paraId="5DA1F59A"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InterDigital</w:t>
      </w:r>
      <w:proofErr w:type="spellEnd"/>
      <w:r>
        <w:rPr>
          <w:rFonts w:ascii="Times New Roman" w:eastAsiaTheme="minorEastAsia" w:hAnsi="Times New Roman"/>
          <w:sz w:val="20"/>
          <w:szCs w:val="20"/>
        </w:rPr>
        <w:t xml:space="preserve">, Lenovo, Apple, China Telecom] support the source RS index can be used for the beam information of access link. </w:t>
      </w:r>
    </w:p>
    <w:p w14:paraId="5DA1F59B"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[Samsung, </w:t>
      </w:r>
      <w:proofErr w:type="spellStart"/>
      <w:proofErr w:type="gramStart"/>
      <w:r>
        <w:rPr>
          <w:rFonts w:ascii="Times New Roman" w:eastAsiaTheme="minorEastAsia" w:hAnsi="Times New Roman"/>
          <w:sz w:val="20"/>
          <w:szCs w:val="20"/>
        </w:rPr>
        <w:t>CAICT,vivo</w:t>
      </w:r>
      <w:proofErr w:type="spellEnd"/>
      <w:proofErr w:type="gramEnd"/>
      <w:r>
        <w:rPr>
          <w:rFonts w:ascii="Times New Roman" w:eastAsiaTheme="minorEastAsia" w:hAnsi="Times New Roman"/>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lastRenderedPageBreak/>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bl>
    <w:p w14:paraId="5DA1F5BE" w14:textId="77777777" w:rsidR="0010502F" w:rsidRDefault="00065D5B">
      <w:pPr>
        <w:pStyle w:val="ListParagraph"/>
        <w:snapToGrid w:val="0"/>
        <w:spacing w:beforeLines="50" w:before="120"/>
        <w:ind w:left="420"/>
        <w:rPr>
          <w:rFonts w:ascii="Times New Roman" w:eastAsiaTheme="minorEastAsia" w:hAnsi="Times New Roman"/>
          <w:sz w:val="20"/>
          <w:szCs w:val="20"/>
        </w:rPr>
      </w:pPr>
      <w:r>
        <w:rPr>
          <w:rFonts w:ascii="Times New Roman" w:eastAsiaTheme="minorEastAsia" w:hAnsi="Times New Roman" w:hint="eastAsia"/>
          <w:sz w:val="20"/>
          <w:szCs w:val="20"/>
        </w:rPr>
        <w:t>As agreed in RAN1#109e e-meeting, both semi-static and dynamic beam indication can be studied considering different NCR</w:t>
      </w:r>
      <w:r>
        <w:rPr>
          <w:rFonts w:ascii="Times New Roman" w:eastAsiaTheme="minorEastAsia" w:hAnsi="Times New Roman"/>
          <w:sz w:val="20"/>
          <w:szCs w:val="20"/>
        </w:rPr>
        <w:t>’</w:t>
      </w:r>
      <w:r>
        <w:rPr>
          <w:rFonts w:ascii="Times New Roman" w:eastAsiaTheme="minorEastAsia" w:hAnsi="Times New Roman" w:hint="eastAsia"/>
          <w:sz w:val="20"/>
          <w:szCs w:val="20"/>
        </w:rPr>
        <w:t>s deployment scenario. Based on this agreement, [vivo,</w:t>
      </w:r>
      <w:r>
        <w:rPr>
          <w:rFonts w:ascii="Times New Roman" w:eastAsiaTheme="minorEastAsia" w:hAnsi="Times New Roman"/>
          <w:sz w:val="20"/>
          <w:szCs w:val="20"/>
        </w:rPr>
        <w:t xml:space="preserve"> Sony</w:t>
      </w:r>
      <w:r>
        <w:rPr>
          <w:rFonts w:ascii="Times New Roman" w:eastAsiaTheme="minorEastAsia" w:hAnsi="Times New Roman" w:hint="eastAsia"/>
          <w:sz w:val="20"/>
          <w:szCs w:val="20"/>
        </w:rPr>
        <w:t>, CATT</w:t>
      </w:r>
      <w:r>
        <w:rPr>
          <w:rFonts w:ascii="Times New Roman" w:eastAsiaTheme="minorEastAsia" w:hAnsi="Times New Roman"/>
          <w:sz w:val="20"/>
          <w:szCs w:val="20"/>
        </w:rPr>
        <w:t>, CMCC</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Fujitsu,</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 propose both semi-static and dynamic access link beam indication should be supported. Further, [CATT,</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 xml:space="preserve">iaomi, Samsung] highlights that semi-static configuration is indicated at least for broadcast transmission, while dynamic </w:t>
      </w:r>
      <w:r>
        <w:rPr>
          <w:rFonts w:ascii="Times New Roman" w:eastAsiaTheme="minorEastAsia" w:hAnsi="Times New Roman"/>
          <w:sz w:val="20"/>
          <w:szCs w:val="20"/>
        </w:rPr>
        <w:t>indication can</w:t>
      </w:r>
      <w:r>
        <w:rPr>
          <w:rFonts w:ascii="Times New Roman" w:eastAsiaTheme="minorEastAsia" w:hAnsi="Times New Roman" w:hint="eastAsia"/>
          <w:sz w:val="20"/>
          <w:szCs w:val="20"/>
        </w:rPr>
        <w:t xml:space="preserve"> be used for UE specific transmission.</w:t>
      </w:r>
    </w:p>
    <w:p w14:paraId="5DA1F5BF" w14:textId="77777777" w:rsidR="0010502F" w:rsidRDefault="00065D5B">
      <w:pPr>
        <w:pStyle w:val="ListParagraph"/>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As for the signaling of semi-static and dynamic indication,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at</w:t>
      </w:r>
      <w:r>
        <w:rPr>
          <w:rFonts w:ascii="Times New Roman" w:eastAsiaTheme="minorEastAsia" w:hAnsi="Times New Roman"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ListParagraph"/>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bl>
    <w:p w14:paraId="5DA1F5D2" w14:textId="77777777" w:rsidR="0010502F" w:rsidRDefault="00065D5B">
      <w:pPr>
        <w:pStyle w:val="ListParagraph"/>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gNB-NCR link (including c</w:t>
      </w:r>
      <w:r>
        <w:rPr>
          <w:rFonts w:ascii="Times New Roman" w:eastAsiaTheme="minorEastAsia" w:hAnsi="Times New Roman" w:hint="eastAsia"/>
          <w:b/>
          <w:i/>
          <w:sz w:val="20"/>
          <w:szCs w:val="20"/>
          <w:u w:val="single"/>
        </w:rPr>
        <w:t>-</w:t>
      </w:r>
      <w:r>
        <w:rPr>
          <w:rFonts w:ascii="Times New Roman" w:eastAsiaTheme="minorEastAsia" w:hAnsi="Times New Roman"/>
          <w:b/>
          <w:i/>
          <w:sz w:val="20"/>
          <w:szCs w:val="20"/>
          <w:u w:val="single"/>
        </w:rPr>
        <w:t xml:space="preserve">link and </w:t>
      </w:r>
      <w:r>
        <w:rPr>
          <w:rFonts w:ascii="Times New Roman" w:eastAsiaTheme="minorEastAsia" w:hAnsi="Times New Roman" w:hint="eastAsia"/>
          <w:b/>
          <w:i/>
          <w:sz w:val="20"/>
          <w:szCs w:val="20"/>
          <w:u w:val="single"/>
        </w:rPr>
        <w:t>backhaul link</w:t>
      </w:r>
      <w:r>
        <w:rPr>
          <w:rFonts w:ascii="Times New Roman" w:eastAsiaTheme="minorEastAsia" w:hAnsi="Times New Roman"/>
          <w:b/>
          <w:i/>
          <w:sz w:val="20"/>
          <w:szCs w:val="20"/>
          <w:u w:val="single"/>
        </w:rPr>
        <w:t>)</w:t>
      </w:r>
    </w:p>
    <w:p w14:paraId="5DA1F5D3" w14:textId="77777777" w:rsidR="0010502F" w:rsidRDefault="00065D5B">
      <w:pPr>
        <w:pStyle w:val="ListParagraph"/>
        <w:snapToGrid w:val="0"/>
        <w:ind w:leftChars="200" w:left="440"/>
        <w:rPr>
          <w:rFonts w:ascii="Times New Roman" w:eastAsiaTheme="minorEastAsia" w:hAnsi="Times New Roman"/>
          <w:sz w:val="20"/>
          <w:szCs w:val="20"/>
        </w:rPr>
      </w:pPr>
      <w:r>
        <w:rPr>
          <w:rFonts w:ascii="Times New Roman" w:eastAsiaTheme="minorEastAsia" w:hAnsi="Times New Roman"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ListParagraph"/>
        <w:snapToGrid w:val="0"/>
        <w:ind w:leftChars="200" w:left="440"/>
        <w:rPr>
          <w:rFonts w:ascii="Times New Roman" w:eastAsiaTheme="minorEastAsia" w:hAnsi="Times New Roman"/>
          <w:sz w:val="20"/>
          <w:szCs w:val="20"/>
        </w:rPr>
      </w:pPr>
      <w:r>
        <w:rPr>
          <w:rFonts w:ascii="Times New Roman" w:eastAsiaTheme="minorEastAsia" w:hAnsi="Times New Roman"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rPr>
        <w:t>considered [</w:t>
      </w:r>
      <w:r>
        <w:rPr>
          <w:rFonts w:ascii="Times New Roman" w:eastAsiaTheme="minorEastAsia" w:hAnsi="Times New Roman" w:hint="eastAsia"/>
          <w:sz w:val="20"/>
          <w:szCs w:val="20"/>
        </w:rPr>
        <w:t xml:space="preserve">vivo, CATT, Samsung, sharp, Ericsson, </w:t>
      </w:r>
      <w:proofErr w:type="spellStart"/>
      <w:r>
        <w:rPr>
          <w:rFonts w:ascii="Times New Roman" w:eastAsiaTheme="minorEastAsia" w:hAnsi="Times New Roman" w:hint="eastAsia"/>
          <w:sz w:val="20"/>
          <w:szCs w:val="20"/>
        </w:rPr>
        <w:t>IntelDigital</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More specifically, the adopted legacy beam indication mechanism can be considered as following:</w:t>
      </w:r>
    </w:p>
    <w:p w14:paraId="5DA1F5D5"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 xml:space="preserve">Rel-15/16 beam indication mechanism should be adopted as basic assumption, while Rel-17 unified beam indication is an optional </w:t>
      </w:r>
      <w:proofErr w:type="gramStart"/>
      <w:r>
        <w:rPr>
          <w:rFonts w:ascii="Times New Roman" w:eastAsiaTheme="minorEastAsia" w:hAnsi="Times New Roman" w:hint="eastAsia"/>
          <w:sz w:val="20"/>
          <w:szCs w:val="20"/>
        </w:rPr>
        <w:t>feature;</w:t>
      </w:r>
      <w:proofErr w:type="gramEnd"/>
    </w:p>
    <w:p w14:paraId="5DA1F5D6"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[Samsung] proposes that both Rel-15/16/17 beam indication framework (i.e., unified TCI framework) can be considered</w:t>
      </w:r>
    </w:p>
    <w:p w14:paraId="5DA1F5D7" w14:textId="77777777" w:rsidR="0010502F" w:rsidRDefault="00065D5B">
      <w:pPr>
        <w:pStyle w:val="ListParagraph"/>
        <w:numPr>
          <w:ilvl w:val="1"/>
          <w:numId w:val="23"/>
        </w:numPr>
        <w:snapToGrid w:val="0"/>
        <w:ind w:leftChars="410" w:left="1322"/>
        <w:rPr>
          <w:rFonts w:ascii="Times New Roman" w:eastAsiaTheme="minorEastAsia" w:hAnsi="Times New Roman"/>
          <w:sz w:val="20"/>
          <w:szCs w:val="20"/>
        </w:rPr>
      </w:pPr>
      <w:r>
        <w:rPr>
          <w:rFonts w:ascii="Times New Roman" w:eastAsiaTheme="minorEastAsia" w:hAnsi="Times New Roman" w:hint="eastAsia"/>
          <w:sz w:val="20"/>
          <w:szCs w:val="20"/>
        </w:rPr>
        <w:t>[</w:t>
      </w:r>
      <w:r>
        <w:rPr>
          <w:rFonts w:ascii="Times New Roman" w:eastAsiaTheme="minorEastAsia" w:hAnsi="Times New Roman"/>
          <w:sz w:val="20"/>
          <w:szCs w:val="20"/>
        </w:rPr>
        <w:t>Sharp</w:t>
      </w:r>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the</w:t>
      </w:r>
      <w:r>
        <w:rPr>
          <w:rFonts w:ascii="Times New Roman" w:eastAsiaTheme="minorEastAsia" w:hAnsi="Times New Roman" w:hint="eastAsia"/>
          <w:sz w:val="20"/>
          <w:szCs w:val="20"/>
        </w:rPr>
        <w:t xml:space="preserve"> same beam </w:t>
      </w:r>
      <w:r>
        <w:rPr>
          <w:rFonts w:ascii="Times New Roman" w:eastAsiaTheme="minorEastAsia" w:hAnsi="Times New Roman"/>
          <w:sz w:val="20"/>
          <w:szCs w:val="20"/>
        </w:rPr>
        <w:t>management’s</w:t>
      </w:r>
      <w:r>
        <w:rPr>
          <w:rFonts w:ascii="Times New Roman" w:eastAsiaTheme="minorEastAsia" w:hAnsi="Times New Roman" w:hint="eastAsia"/>
          <w:sz w:val="20"/>
          <w:szCs w:val="20"/>
        </w:rPr>
        <w:t xml:space="preserve"> methods in Rel-17 can be applied and reused for NCR C-link and backhaul link.</w:t>
      </w:r>
    </w:p>
    <w:p w14:paraId="5DA1F5D8" w14:textId="77777777" w:rsidR="0010502F" w:rsidRDefault="00065D5B">
      <w:pPr>
        <w:pStyle w:val="ListParagraph"/>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egarding </w:t>
      </w:r>
      <w:r>
        <w:rPr>
          <w:rFonts w:ascii="Times New Roman" w:eastAsiaTheme="minorEastAsia" w:hAnsi="Times New Roman" w:hint="eastAsia"/>
          <w:sz w:val="20"/>
          <w:szCs w:val="20"/>
        </w:rPr>
        <w:t xml:space="preserve">the </w:t>
      </w:r>
      <w:r>
        <w:rPr>
          <w:rFonts w:ascii="Times New Roman" w:eastAsiaTheme="minorEastAsia" w:hAnsi="Times New Roman"/>
          <w:sz w:val="20"/>
          <w:szCs w:val="20"/>
        </w:rPr>
        <w:t xml:space="preserve">implicit/explicit </w:t>
      </w:r>
      <w:r>
        <w:rPr>
          <w:rFonts w:ascii="Times New Roman" w:eastAsiaTheme="minorEastAsia" w:hAnsi="Times New Roman" w:hint="eastAsia"/>
          <w:sz w:val="20"/>
          <w:szCs w:val="20"/>
        </w:rPr>
        <w:t xml:space="preserve">beam </w:t>
      </w:r>
      <w:r>
        <w:rPr>
          <w:rFonts w:ascii="Times New Roman" w:eastAsiaTheme="minorEastAsia" w:hAnsi="Times New Roman"/>
          <w:sz w:val="20"/>
          <w:szCs w:val="20"/>
        </w:rPr>
        <w:t xml:space="preserve">indication </w:t>
      </w:r>
      <w:r>
        <w:rPr>
          <w:rFonts w:ascii="Times New Roman" w:eastAsiaTheme="minorEastAsia" w:hAnsi="Times New Roman" w:hint="eastAsia"/>
          <w:sz w:val="20"/>
          <w:szCs w:val="20"/>
        </w:rPr>
        <w:t xml:space="preserve">of </w:t>
      </w:r>
      <w:r>
        <w:rPr>
          <w:rFonts w:ascii="Times New Roman" w:eastAsiaTheme="minorEastAsia" w:hAnsi="Times New Roman"/>
          <w:sz w:val="20"/>
          <w:szCs w:val="20"/>
        </w:rPr>
        <w:t>NCR backhaul link</w:t>
      </w:r>
      <w:r>
        <w:rPr>
          <w:rFonts w:ascii="Times New Roman" w:eastAsiaTheme="minorEastAsia" w:hAnsi="Times New Roman" w:hint="eastAsia"/>
          <w:sz w:val="20"/>
          <w:szCs w:val="20"/>
        </w:rPr>
        <w:t>, following views are shared by companies:</w:t>
      </w:r>
    </w:p>
    <w:p w14:paraId="5DA1F5D9"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 xml:space="preserve">[Huawei, Nokia, MediaTek, Sharp, Ericsson, CAICT] support the implicit indication of backhaul link beam configuration. </w:t>
      </w:r>
    </w:p>
    <w:p w14:paraId="5DA1F5DB"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w:t>
      </w:r>
      <w:proofErr w:type="spellStart"/>
      <w:proofErr w:type="gramStart"/>
      <w:r>
        <w:rPr>
          <w:rFonts w:ascii="Times New Roman" w:eastAsiaTheme="minorEastAsia" w:hAnsi="Times New Roman" w:hint="eastAsia"/>
          <w:sz w:val="20"/>
          <w:szCs w:val="20"/>
        </w:rPr>
        <w:t>ZTE,Vivo</w:t>
      </w:r>
      <w:proofErr w:type="gramEnd"/>
      <w:r>
        <w:rPr>
          <w:rFonts w:ascii="Times New Roman" w:eastAsiaTheme="minorEastAsia" w:hAnsi="Times New Roman" w:hint="eastAsia"/>
          <w:sz w:val="20"/>
          <w:szCs w:val="20"/>
        </w:rPr>
        <w:t>,Sony</w:t>
      </w:r>
      <w:proofErr w:type="spellEnd"/>
      <w:r>
        <w:rPr>
          <w:rFonts w:ascii="Times New Roman" w:eastAsiaTheme="minorEastAsia" w:hAnsi="Times New Roman" w:hint="eastAsia"/>
          <w:sz w:val="20"/>
          <w:szCs w:val="20"/>
        </w:rPr>
        <w:t xml:space="preserve">, Samsung, Lenovo, LG, Fujitsu,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w:t>
      </w:r>
      <w:proofErr w:type="spellStart"/>
      <w:r>
        <w:rPr>
          <w:rFonts w:ascii="Times New Roman" w:eastAsiaTheme="minorEastAsia" w:hAnsi="Times New Roman" w:hint="eastAsia"/>
          <w:sz w:val="20"/>
          <w:szCs w:val="20"/>
        </w:rPr>
        <w:t>InterDigital</w:t>
      </w:r>
      <w:proofErr w:type="spellEnd"/>
      <w:r>
        <w:rPr>
          <w:rFonts w:ascii="Times New Roman" w:eastAsiaTheme="minorEastAsia" w:hAnsi="Times New Roman" w:hint="eastAsia"/>
          <w:sz w:val="20"/>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ascii="Times New Roman" w:hAnsi="Times New Roman" w:hint="eastAsia"/>
                </w:rPr>
                <w:t xml:space="preserve"> be hard </w:t>
              </w:r>
            </w:ins>
            <w:ins w:id="66" w:author="Andjela Ilic-Savoia" w:date="2022-08-21T10:20:00Z">
              <w:r w:rsidRPr="00587E35">
                <w:rPr>
                  <w:rFonts w:ascii="Times New Roman" w:hAnsi="Times New Roman"/>
                </w:rPr>
                <w:t>coded,</w:t>
              </w:r>
            </w:ins>
            <w:ins w:id="67" w:author="Andjela Ilic-Savoia" w:date="2022-08-21T10:16:00Z">
              <w:r w:rsidRPr="00587E35">
                <w:rPr>
                  <w:rFonts w:ascii="Times New Roman" w:hAnsi="Times New Roman"/>
                </w:rPr>
                <w:t xml:space="preserve"> or OEM configured.</w:t>
              </w:r>
            </w:ins>
            <w:ins w:id="68" w:author="Andjela Ilic-Savoia" w:date="2022-08-21T10:15:00Z">
              <w:r w:rsidRPr="00587E35">
                <w:rPr>
                  <w:rFonts w:ascii="Times New Roman" w:hAnsi="Times New Roman"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signalling </w:t>
              </w:r>
              <w:r w:rsidRPr="00587E35">
                <w:rPr>
                  <w:rFonts w:ascii="Times New Roman" w:hAnsi="Times New Roman" w:hint="eastAsia"/>
                </w:rPr>
                <w:t>to indicate the beam info</w:t>
              </w:r>
              <w:r w:rsidRPr="00587E35">
                <w:rPr>
                  <w:rFonts w:ascii="Times New Roman" w:hAnsi="Times New Roman"/>
                </w:rPr>
                <w:t>.</w:t>
              </w:r>
            </w:ins>
            <w:ins w:id="71" w:author="Andjela Ilic-Savoia" w:date="2022-08-21T10:19:00Z">
              <w:r w:rsidRPr="00587E35">
                <w:rPr>
                  <w:rFonts w:ascii="Times New Roman" w:hAnsi="Times New Roman"/>
                </w:rPr>
                <w:t xml:space="preserve"> </w:t>
              </w:r>
            </w:ins>
          </w:p>
          <w:p w14:paraId="5DA1F5E8" w14:textId="77777777" w:rsidR="0010502F" w:rsidRPr="00587E35" w:rsidRDefault="00065D5B">
            <w:pPr>
              <w:rPr>
                <w:rFonts w:ascii="New York" w:hAnsi="New York"/>
              </w:rPr>
            </w:pPr>
            <w:ins w:id="72" w:author="Andjela Ilic-Savoia" w:date="2022-08-21T10:22:00Z">
              <w:r w:rsidRPr="00587E35">
                <w:rPr>
                  <w:rFonts w:ascii="Times New Roman" w:hAnsi="Times New Roman"/>
                </w:rPr>
                <w:t>Regarding</w:t>
              </w:r>
            </w:ins>
            <w:ins w:id="73" w:author="Andjela Ilic-Savoia" w:date="2022-08-21T10:19:00Z">
              <w:r w:rsidRPr="00587E35">
                <w:rPr>
                  <w:rFonts w:ascii="Times New Roman" w:hAnsi="Times New Roman"/>
                </w:rPr>
                <w:t xml:space="preserve"> </w:t>
              </w:r>
            </w:ins>
            <w:ins w:id="74" w:author="Andjela Ilic-Savoia" w:date="2022-08-21T10:25:00Z">
              <w:r w:rsidRPr="00587E35">
                <w:rPr>
                  <w:rFonts w:ascii="Times New Roman" w:hAnsi="Times New Roman"/>
                </w:rPr>
                <w:t xml:space="preserve">reusing </w:t>
              </w:r>
            </w:ins>
            <w:ins w:id="75" w:author="Andjela Ilic-Savoia" w:date="2022-08-21T10:19:00Z">
              <w:r w:rsidRPr="00587E35">
                <w:rPr>
                  <w:rFonts w:ascii="Times New Roman" w:hAnsi="Times New Roman"/>
                </w:rPr>
                <w:t>“legacy signalling</w:t>
              </w:r>
            </w:ins>
            <w:ins w:id="76" w:author="Andjela Ilic-Savoia" w:date="2022-08-21T10:22:00Z">
              <w:r w:rsidRPr="00587E35">
                <w:rPr>
                  <w:rFonts w:ascii="Times New Roman" w:hAnsi="Times New Roman"/>
                </w:rPr>
                <w:t>”</w:t>
              </w:r>
            </w:ins>
            <w:ins w:id="77" w:author="Andjela Ilic-Savoia" w:date="2022-08-21T10:19:00Z">
              <w:r w:rsidRPr="00587E35">
                <w:rPr>
                  <w:rFonts w:ascii="Times New Roman" w:hAnsi="Times New Roman"/>
                </w:rPr>
                <w:t xml:space="preserve"> </w:t>
              </w:r>
            </w:ins>
            <w:ins w:id="78" w:author="Andjela Ilic-Savoia" w:date="2022-08-21T10:24:00Z">
              <w:r w:rsidRPr="00587E35">
                <w:rPr>
                  <w:rFonts w:ascii="Times New Roman" w:hAnsi="Times New Roman" w:hint="eastAsia"/>
                </w:rPr>
                <w:t>beamforming framework for NCR-MT</w:t>
              </w:r>
            </w:ins>
            <w:ins w:id="79" w:author="Andjela Ilic-Savoia" w:date="2022-08-21T10:22:00Z">
              <w:r w:rsidRPr="00587E35">
                <w:rPr>
                  <w:rFonts w:ascii="Times New Roman" w:hAnsi="Times New Roman"/>
                </w:rPr>
                <w:t>:</w:t>
              </w:r>
            </w:ins>
            <w:ins w:id="80" w:author="Andjela Ilic-Savoia" w:date="2022-08-21T10:19:00Z">
              <w:r w:rsidRPr="00587E35">
                <w:rPr>
                  <w:rFonts w:ascii="Times New Roman" w:hAnsi="Times New Roman"/>
                </w:rPr>
                <w:t xml:space="preserve"> As w</w:t>
              </w:r>
            </w:ins>
            <w:ins w:id="81" w:author="Andjela Ilic-Savoia" w:date="2022-08-21T10:20:00Z">
              <w:r w:rsidRPr="00587E35">
                <w:rPr>
                  <w:rFonts w:ascii="Times New Roman" w:hAnsi="Times New Roman"/>
                </w:rPr>
                <w:t xml:space="preserve">e pointed out in our contribution R1-2205813, </w:t>
              </w:r>
            </w:ins>
            <w:ins w:id="82" w:author="Andjela Ilic-Savoia" w:date="2022-08-21T10:21:00Z">
              <w:r w:rsidRPr="00587E35">
                <w:rPr>
                  <w:rFonts w:ascii="Times New Roman" w:hAnsi="Times New Roman"/>
                </w:rPr>
                <w:t>the legacy signalling would not be sufficient in NSA cases, nor in FR1 + FR2 SA cases.</w:t>
              </w:r>
            </w:ins>
            <w:ins w:id="83" w:author="Andjela Ilic-Savoia" w:date="2022-08-21T10:25:00Z">
              <w:r w:rsidRPr="00587E35">
                <w:rPr>
                  <w:rFonts w:ascii="Times New Roman" w:hAnsi="Times New Roman"/>
                </w:rPr>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bl>
    <w:p w14:paraId="5DA1F5ED" w14:textId="77777777" w:rsidR="0010502F" w:rsidRDefault="00065D5B">
      <w:pPr>
        <w:pStyle w:val="ListParagraph"/>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Others</w:t>
      </w:r>
    </w:p>
    <w:p w14:paraId="5DA1F5EE" w14:textId="77777777" w:rsidR="0010502F" w:rsidRDefault="00065D5B">
      <w:pPr>
        <w:pStyle w:val="ListParagraph"/>
        <w:snapToGrid w:val="0"/>
        <w:spacing w:beforeLines="50" w:before="120" w:afterLines="50" w:after="120"/>
        <w:ind w:left="420"/>
        <w:rPr>
          <w:rFonts w:ascii="Times New Roman" w:eastAsiaTheme="minorEastAsia" w:hAnsi="Times New Roman"/>
          <w:b/>
          <w:i/>
          <w:sz w:val="20"/>
          <w:szCs w:val="20"/>
          <w:u w:val="single"/>
        </w:rPr>
      </w:pPr>
      <w:r>
        <w:rPr>
          <w:rFonts w:ascii="Times New Roman" w:eastAsiaTheme="minorEastAsia" w:hAnsi="Times New Roman"/>
          <w:sz w:val="20"/>
          <w:szCs w:val="20"/>
        </w:rPr>
        <w:t>The following aspects related to the beam information are also proposed by companies:</w:t>
      </w:r>
    </w:p>
    <w:p w14:paraId="5DA1F5EF" w14:textId="05A61EB0" w:rsidR="0010502F" w:rsidRDefault="00065D5B">
      <w:pPr>
        <w:pStyle w:val="ListParagraph"/>
        <w:numPr>
          <w:ilvl w:val="0"/>
          <w:numId w:val="24"/>
        </w:numPr>
        <w:snapToGrid w:val="0"/>
        <w:spacing w:beforeLines="50" w:before="120" w:afterLines="50" w:after="120"/>
        <w:rPr>
          <w:rFonts w:ascii="Times New Roman" w:eastAsiaTheme="minorEastAsia" w:hAnsi="Times New Roman"/>
          <w:b/>
          <w:i/>
          <w:sz w:val="20"/>
          <w:szCs w:val="20"/>
          <w:u w:val="single"/>
        </w:rPr>
      </w:pPr>
      <w:r>
        <w:rPr>
          <w:rFonts w:ascii="Times New Roman" w:eastAsiaTheme="minorEastAsia" w:hAnsi="Times New Roman"/>
          <w:sz w:val="20"/>
          <w:szCs w:val="20"/>
        </w:rPr>
        <w:t>[vivo] propose</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study the necessity to introduce beam restriction, to alleviate </w:t>
      </w:r>
      <w:proofErr w:type="spellStart"/>
      <w:r>
        <w:rPr>
          <w:rFonts w:ascii="Times New Roman" w:eastAsiaTheme="minorEastAsia" w:hAnsi="Times New Roman"/>
          <w:sz w:val="20"/>
          <w:szCs w:val="20"/>
        </w:rPr>
        <w:t>th</w:t>
      </w:r>
      <w:proofErr w:type="spellEnd"/>
      <w:r w:rsidR="00A97DF5">
        <w:rPr>
          <w:rFonts w:ascii="Times New Roman" w:eastAsiaTheme="minorEastAsia" w:hAnsi="Times New Roman"/>
          <w:sz w:val="20"/>
          <w:szCs w:val="20"/>
        </w:rPr>
        <w:tab/>
      </w:r>
      <w:r>
        <w:rPr>
          <w:rFonts w:ascii="Times New Roman" w:eastAsiaTheme="minorEastAsia" w:hAnsi="Times New Roman"/>
          <w:sz w:val="20"/>
          <w:szCs w:val="20"/>
        </w:rPr>
        <w:t>e potential interference due to the auto-excitation of NCR</w:t>
      </w:r>
    </w:p>
    <w:p w14:paraId="5DA1F5F0" w14:textId="77777777" w:rsidR="0010502F" w:rsidRDefault="00065D5B">
      <w:pPr>
        <w:pStyle w:val="ListParagraph"/>
        <w:snapToGrid w:val="0"/>
        <w:spacing w:beforeLines="50" w:before="120" w:afterLines="50" w:after="120"/>
        <w:ind w:left="840"/>
        <w:rPr>
          <w:rFonts w:ascii="Times New Roman" w:eastAsiaTheme="minorEastAsia" w:hAnsi="Times New Roman"/>
          <w:b/>
          <w:i/>
          <w:sz w:val="20"/>
          <w:szCs w:val="20"/>
          <w:u w:val="single"/>
        </w:rPr>
      </w:pPr>
      <w:r>
        <w:rPr>
          <w:rFonts w:ascii="Times New Roman" w:eastAsiaTheme="minorEastAsia" w:hAnsi="Times New Roman"/>
          <w:sz w:val="20"/>
          <w:szCs w:val="20"/>
        </w:rPr>
        <w:t xml:space="preserve">For this issue, from FL’s perspective, it can be implemented by </w:t>
      </w:r>
      <w:proofErr w:type="spellStart"/>
      <w:r>
        <w:rPr>
          <w:rFonts w:ascii="Times New Roman" w:eastAsiaTheme="minorEastAsia" w:hAnsi="Times New Roman"/>
          <w:sz w:val="20"/>
          <w:szCs w:val="20"/>
        </w:rPr>
        <w:t>gNB’s</w:t>
      </w:r>
      <w:proofErr w:type="spellEnd"/>
      <w:r>
        <w:rPr>
          <w:rFonts w:ascii="Times New Roman" w:eastAsiaTheme="minorEastAsia" w:hAnsi="Times New Roman"/>
          <w:sz w:val="20"/>
          <w:szCs w:val="20"/>
        </w:rPr>
        <w:t xml:space="preserve"> scheduling on beam indication if the some </w:t>
      </w:r>
      <w:proofErr w:type="gramStart"/>
      <w:r>
        <w:rPr>
          <w:rFonts w:ascii="Times New Roman" w:eastAsiaTheme="minorEastAsia" w:hAnsi="Times New Roman"/>
          <w:sz w:val="20"/>
          <w:szCs w:val="20"/>
        </w:rPr>
        <w:t>beam</w:t>
      </w:r>
      <w:proofErr w:type="gramEnd"/>
      <w:r>
        <w:rPr>
          <w:rFonts w:ascii="Times New Roman" w:eastAsiaTheme="minorEastAsia" w:hAnsi="Times New Roman"/>
          <w:sz w:val="20"/>
          <w:szCs w:val="20"/>
        </w:rPr>
        <w:t xml:space="preserve"> are not preferred. </w:t>
      </w:r>
    </w:p>
    <w:p w14:paraId="5DA1F5F1" w14:textId="77777777" w:rsidR="0010502F" w:rsidRDefault="00065D5B">
      <w:pPr>
        <w:pStyle w:val="ListParagraph"/>
        <w:numPr>
          <w:ilvl w:val="0"/>
          <w:numId w:val="24"/>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hint="eastAsia"/>
          <w:sz w:val="20"/>
          <w:szCs w:val="20"/>
        </w:rPr>
        <w:t xml:space="preserve">[Qualcomm] proposes that </w:t>
      </w:r>
      <w:r>
        <w:rPr>
          <w:rFonts w:ascii="Times New Roman" w:eastAsiaTheme="minorEastAsia" w:hAnsi="Times New Roman"/>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ListParagraph"/>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many </w:t>
              </w:r>
              <w:proofErr w:type="spellStart"/>
              <w:r w:rsidRPr="00587E35">
                <w:rPr>
                  <w:rFonts w:ascii="New York" w:hAnsi="New York"/>
                </w:rPr>
                <w:t>gNBs</w:t>
              </w:r>
              <w:proofErr w:type="spellEnd"/>
              <w:r w:rsidRPr="00587E35">
                <w:rPr>
                  <w:rFonts w:ascii="New York" w:hAnsi="New York"/>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77777777" w:rsidR="0010502F" w:rsidRPr="00587E35" w:rsidRDefault="00065D5B">
            <w:pPr>
              <w:rPr>
                <w:rFonts w:ascii="New York" w:hAnsi="New York"/>
              </w:rPr>
            </w:pPr>
            <w:r w:rsidRPr="00587E35">
              <w:rPr>
                <w:rFonts w:ascii="New York" w:hAnsi="New York"/>
              </w:rPr>
              <w:t xml:space="preserve">As commented in one of our previous comments, we are also </w:t>
            </w:r>
            <w:proofErr w:type="gramStart"/>
            <w:r w:rsidRPr="00587E35">
              <w:rPr>
                <w:rFonts w:ascii="New York" w:hAnsi="New York"/>
              </w:rPr>
              <w:t>open</w:t>
            </w:r>
            <w:proofErr w:type="gramEnd"/>
            <w:r w:rsidRPr="00587E35">
              <w:rPr>
                <w:rFonts w:ascii="New York" w:hAnsi="New York"/>
              </w:rPr>
              <w:t xml:space="preserve"> to consider coverage region control by gNB to serve specific regions or avoid interference in certain regions. In our view, it is beneficial if gNB can configure NCR to have beams indicated within a specific coverage </w:t>
            </w:r>
            <w:r w:rsidRPr="00587E35">
              <w:rPr>
                <w:rFonts w:ascii="New York" w:hAnsi="New York"/>
              </w:rPr>
              <w:lastRenderedPageBreak/>
              <w:t>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lastRenderedPageBreak/>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14:paraId="5DA1F602"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spacing w:after="0"/>
        <w:rPr>
          <w:i/>
        </w:rPr>
      </w:pPr>
      <w:r w:rsidRPr="00587E35">
        <w:rPr>
          <w:i/>
          <w:iCs/>
        </w:rPr>
        <w:t>FFS: Detailed mechanism of ON-OFF indication and determination</w:t>
      </w:r>
    </w:p>
    <w:p w14:paraId="5DA1F607" w14:textId="77777777" w:rsidR="0010502F" w:rsidRPr="00587E35" w:rsidRDefault="00065D5B">
      <w:pPr>
        <w:numPr>
          <w:ilvl w:val="0"/>
          <w:numId w:val="12"/>
        </w:numPr>
        <w:spacing w:after="0"/>
        <w:rPr>
          <w:i/>
        </w:rPr>
      </w:pPr>
      <w:r w:rsidRPr="00587E35">
        <w:rPr>
          <w:i/>
          <w:iCs/>
        </w:rPr>
        <w:t>FFS: explicit indication or implicit indication of ON-OFF information</w:t>
      </w:r>
    </w:p>
    <w:p w14:paraId="5DA1F608" w14:textId="77777777" w:rsidR="0010502F" w:rsidRDefault="00065D5B">
      <w:pPr>
        <w:pStyle w:val="NormalWeb"/>
        <w:shd w:val="clear" w:color="auto" w:fill="FFFFFF"/>
        <w:spacing w:beforeLines="50" w:before="12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gNB to NCR for controlling the </w:t>
      </w:r>
      <w:proofErr w:type="spellStart"/>
      <w:r w:rsidRPr="00587E35">
        <w:rPr>
          <w:bCs/>
          <w:i/>
          <w:iCs/>
        </w:rPr>
        <w:t>behaviour</w:t>
      </w:r>
      <w:proofErr w:type="spellEnd"/>
      <w:r w:rsidRPr="00587E35">
        <w:rPr>
          <w:bCs/>
          <w:i/>
          <w:iCs/>
        </w:rPr>
        <w:t xml:space="preserve"> of NCR-</w:t>
      </w:r>
      <w:proofErr w:type="spellStart"/>
      <w:r w:rsidRPr="00587E35">
        <w:rPr>
          <w:bCs/>
          <w:i/>
          <w:iCs/>
        </w:rPr>
        <w:t>Fwd</w:t>
      </w:r>
      <w:proofErr w:type="spellEnd"/>
      <w:r w:rsidRPr="00587E35">
        <w:rPr>
          <w:bCs/>
          <w:i/>
          <w:iCs/>
        </w:rPr>
        <w:t>:</w:t>
      </w:r>
    </w:p>
    <w:p w14:paraId="5DA1F60A"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Option 1: Explicit indication with on-off state (e.g., via dynamic or semi-static signalling) or on-off pattern (e.g., periodic</w:t>
      </w:r>
      <w:r>
        <w:rPr>
          <w:rFonts w:ascii="Times New Roman" w:hAnsi="Times New Roman"/>
          <w:i/>
          <w:iCs/>
          <w:sz w:val="20"/>
          <w:szCs w:val="20"/>
        </w:rPr>
        <w:t>/semi-static</w:t>
      </w:r>
      <w:r>
        <w:rPr>
          <w:rFonts w:ascii="Times New Roman" w:hAnsi="Times New Roman"/>
          <w:i/>
          <w:sz w:val="20"/>
          <w:szCs w:val="20"/>
        </w:rPr>
        <w:t xml:space="preserve"> ON-OFF pattern or new DRX-like pattern for ON-OFF)</w:t>
      </w:r>
    </w:p>
    <w:p w14:paraId="5DA1F60B"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Option 2: Implicit indication via the signalling for other information (e.g., beam, DL/UL configuration, or PC information)</w:t>
      </w:r>
    </w:p>
    <w:p w14:paraId="5DA1F60C" w14:textId="77777777" w:rsidR="0010502F" w:rsidRDefault="00065D5B">
      <w:pPr>
        <w:pStyle w:val="ListParagraph"/>
        <w:numPr>
          <w:ilvl w:val="1"/>
          <w:numId w:val="12"/>
        </w:numPr>
        <w:adjustRightInd w:val="0"/>
        <w:snapToGrid w:val="0"/>
        <w:rPr>
          <w:rFonts w:ascii="Times New Roman" w:hAnsi="Times New Roman"/>
          <w:i/>
          <w:sz w:val="20"/>
          <w:szCs w:val="20"/>
        </w:rPr>
      </w:pPr>
      <w:r>
        <w:rPr>
          <w:rFonts w:ascii="Times New Roman" w:hAnsi="Times New Roman"/>
          <w:i/>
          <w:iCs/>
          <w:sz w:val="20"/>
          <w:szCs w:val="20"/>
        </w:rPr>
        <w:t>Note: This example does not imply that PC information is necessary or not.</w:t>
      </w:r>
    </w:p>
    <w:p w14:paraId="5DA1F60D"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Other solutions (e.g., potential combination of explicit and implication solution) can be further discussed.</w:t>
      </w:r>
    </w:p>
    <w:p w14:paraId="5DA1F60E" w14:textId="77777777" w:rsidR="0010502F" w:rsidRDefault="00065D5B">
      <w:pPr>
        <w:pStyle w:val="NormalWeb"/>
        <w:shd w:val="clear" w:color="auto" w:fill="FFFFFF"/>
        <w:spacing w:beforeLines="50" w:before="120" w:beforeAutospacing="0" w:after="0" w:afterAutospacing="0"/>
        <w:rPr>
          <w:rStyle w:val="Emphasis"/>
          <w:b/>
          <w:bCs/>
          <w:sz w:val="20"/>
          <w:highlight w:val="green"/>
        </w:rPr>
      </w:pPr>
      <w:r>
        <w:rPr>
          <w:rStyle w:val="Emphasis"/>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spacing w:after="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lastRenderedPageBreak/>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26" w14:textId="77777777" w:rsidR="0010502F" w:rsidRPr="0010502F" w:rsidRDefault="00065D5B">
            <w:pPr>
              <w:tabs>
                <w:tab w:val="left" w:pos="840"/>
              </w:tabs>
              <w:snapToGrid w:val="0"/>
              <w:spacing w:beforeLines="5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w:t>
            </w:r>
            <w:proofErr w:type="gramStart"/>
            <w:r>
              <w:rPr>
                <w:rFonts w:ascii="New York" w:hAnsi="New York"/>
              </w:rPr>
              <w:t>so as to</w:t>
            </w:r>
            <w:proofErr w:type="gramEnd"/>
            <w:r>
              <w:rPr>
                <w:rFonts w:ascii="New York" w:hAnsi="New York"/>
              </w:rPr>
              <w:t xml:space="preserve"> “accept remote UE into </w:t>
            </w:r>
            <w:r>
              <w:rPr>
                <w:rFonts w:ascii="New York" w:hAnsi="New York"/>
              </w:rPr>
              <w:lastRenderedPageBreak/>
              <w:t xml:space="preserve">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lastRenderedPageBreak/>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w:t>
      </w:r>
      <w:proofErr w:type="gramStart"/>
      <w:r w:rsidRPr="00587E35">
        <w:rPr>
          <w:i/>
          <w:iCs/>
          <w:highlight w:val="yellow"/>
        </w:rPr>
        <w:t>e.g.</w:t>
      </w:r>
      <w:proofErr w:type="gramEnd"/>
      <w:r w:rsidRPr="00587E35">
        <w:rPr>
          <w:i/>
          <w:iCs/>
          <w:highlight w:val="yellow"/>
        </w:rPr>
        <w:t xml:space="preserve">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 xml:space="preserve">Support to consider the two </w:t>
            </w:r>
            <w:proofErr w:type="gramStart"/>
            <w:r w:rsidRPr="00587E35">
              <w:rPr>
                <w:rFonts w:ascii="New York" w:hAnsi="New York"/>
              </w:rPr>
              <w:t>options, and</w:t>
            </w:r>
            <w:proofErr w:type="gramEnd"/>
            <w:r w:rsidRPr="00587E35">
              <w:rPr>
                <w:rFonts w:ascii="New York" w:hAnsi="New York"/>
              </w:rPr>
              <w:t xml:space="preserve">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w:t>
            </w:r>
            <w:proofErr w:type="gramStart"/>
            <w:r w:rsidRPr="00587E35">
              <w:rPr>
                <w:rFonts w:ascii="New York" w:hAnsi="New York"/>
                <w:i/>
                <w:iCs/>
                <w:highlight w:val="yellow"/>
              </w:rPr>
              <w:t>e.g.</w:t>
            </w:r>
            <w:proofErr w:type="gramEnd"/>
            <w:r w:rsidRPr="00587E35">
              <w:rPr>
                <w:rFonts w:ascii="New York" w:hAnsi="New York"/>
                <w:i/>
                <w:iCs/>
                <w:highlight w:val="yellow"/>
              </w:rPr>
              <w:t xml:space="preserve">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w:t>
              </w:r>
              <w:r w:rsidRPr="00587E35">
                <w:rPr>
                  <w:rFonts w:ascii="New York" w:hAnsi="New York"/>
                </w:rPr>
                <w:lastRenderedPageBreak/>
                <w:t xml:space="preserve">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11" w:author="Andjela Ilic-Savoia" w:date="2022-08-21T10:59:00Z">
              <w:r w:rsidRPr="00587E35">
                <w:rPr>
                  <w:rFonts w:ascii="New York" w:hAnsi="New York"/>
                </w:rPr>
                <w:t xml:space="preserve"> (other than 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lastRenderedPageBreak/>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w:t>
            </w:r>
            <w:proofErr w:type="gramStart"/>
            <w:r>
              <w:rPr>
                <w:rFonts w:ascii="New York" w:hAnsi="New York"/>
              </w:rPr>
              <w:t>so as to</w:t>
            </w:r>
            <w:proofErr w:type="gramEnd"/>
            <w:r>
              <w:rPr>
                <w:rFonts w:ascii="New York" w:hAnsi="New York"/>
              </w:rPr>
              <w:t xml:space="preserve">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w:t>
            </w:r>
            <w:proofErr w:type="gramStart"/>
            <w:r>
              <w:rPr>
                <w:rFonts w:ascii="New York" w:hAnsi="New York"/>
              </w:rPr>
              <w:t>has to</w:t>
            </w:r>
            <w:proofErr w:type="gramEnd"/>
            <w:r>
              <w:rPr>
                <w:rFonts w:ascii="New York" w:hAnsi="New York"/>
              </w:rPr>
              <w:t xml:space="preserve">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w:t>
            </w:r>
            <w:proofErr w:type="spellStart"/>
            <w:r>
              <w:rPr>
                <w:i/>
                <w:iCs/>
                <w:highlight w:val="yellow"/>
              </w:rPr>
              <w:t>Fwd</w:t>
            </w:r>
            <w:proofErr w:type="spellEnd"/>
            <w:r>
              <w:rPr>
                <w:i/>
                <w:iCs/>
                <w:highlight w:val="yellow"/>
              </w:rPr>
              <w:t xml:space="preserve">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rPr>
        <w:t>considered</w:t>
      </w:r>
      <w:proofErr w:type="gramEnd"/>
      <w:r>
        <w:rPr>
          <w:rFonts w:hint="eastAsia"/>
        </w:rPr>
        <w:t xml:space="preserve">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xml:space="preserve">]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gramStart"/>
      <w:r>
        <w:rPr>
          <w:rFonts w:hint="eastAsia"/>
        </w:rPr>
        <w:t>Fwd</w:t>
      </w:r>
      <w:proofErr w:type="gram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w:t>
            </w:r>
            <w:r w:rsidRPr="00587E35">
              <w:rPr>
                <w:rFonts w:ascii="New York" w:hAnsi="New York"/>
              </w:rPr>
              <w:lastRenderedPageBreak/>
              <w:t xml:space="preserve">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rPr>
                  <w:rFonts w:ascii="Times New Roman" w:hAnsi="Times New Roman"/>
                </w:rPr>
                <w:lastRenderedPageBreak/>
                <w:t xml:space="preserve">Pivotal </w:t>
              </w:r>
              <w:proofErr w:type="spellStart"/>
              <w:r>
                <w:rPr>
                  <w:rFonts w:ascii="Times New Roman" w:hAnsi="Times New Roman"/>
                </w:rPr>
                <w:t>Commware</w:t>
              </w:r>
            </w:ins>
            <w:proofErr w:type="spellEnd"/>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bl>
    <w:p w14:paraId="5DA1F678"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Topic-3 TDD configuration</w:t>
      </w:r>
    </w:p>
    <w:p w14:paraId="5DA1F679"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ListParagraph"/>
        <w:numPr>
          <w:ilvl w:val="1"/>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FFS: handling of flexible symbols</w:t>
      </w:r>
    </w:p>
    <w:p w14:paraId="5DA1F67F"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Note1: The same TDD UL/DL configuration is always assumed for backhaul link and access link</w:t>
      </w:r>
    </w:p>
    <w:p w14:paraId="5DA1F680"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Note2: The same TDD UL/DL configuration is assumed for C-link and backhaul link and access link if NCR-MT and NCR-</w:t>
      </w:r>
      <w:r>
        <w:rPr>
          <w:rFonts w:ascii="Times New Roman" w:eastAsia="Malgun Gothic" w:hAnsi="Times New Roman"/>
          <w:i/>
          <w:sz w:val="20"/>
          <w:szCs w:val="20"/>
        </w:rPr>
        <w:t>Fwd</w:t>
      </w:r>
      <w:r>
        <w:rPr>
          <w:rFonts w:ascii="Times New Roman" w:eastAsia="Malgun Gothic" w:hAnsi="Times New Roman"/>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widowControl w:val="0"/>
        <w:numPr>
          <w:ilvl w:val="0"/>
          <w:numId w:val="28"/>
        </w:numPr>
        <w:snapToGrid w:val="0"/>
        <w:spacing w:beforeLines="50" w:before="120" w:after="0"/>
        <w:ind w:left="357" w:hanging="357"/>
        <w:jc w:val="both"/>
      </w:pPr>
      <w:r w:rsidRPr="00587E35">
        <w:t xml:space="preserve">Option 1: </w:t>
      </w:r>
      <w:r>
        <w:t>Unspecified NCR behavior or</w:t>
      </w:r>
      <w:r w:rsidRPr="00587E35">
        <w:t xml:space="preserve"> left </w:t>
      </w:r>
      <w:proofErr w:type="gramStart"/>
      <w:r w:rsidRPr="00587E35">
        <w:t>to</w:t>
      </w:r>
      <w:proofErr w:type="gramEnd"/>
      <w:r w:rsidRPr="00587E35">
        <w:t xml:space="preserve"> </w:t>
      </w:r>
      <w:r>
        <w:t>gNB/</w:t>
      </w:r>
      <w:r w:rsidRPr="00587E35">
        <w:t>NCR implementation</w:t>
      </w:r>
      <w:r>
        <w:t xml:space="preserve"> in flexible symbols</w:t>
      </w:r>
    </w:p>
    <w:p w14:paraId="5DA1F683" w14:textId="77777777" w:rsidR="0010502F" w:rsidRDefault="00065D5B">
      <w:pPr>
        <w:pStyle w:val="ListParagraph"/>
        <w:widowControl w:val="0"/>
        <w:numPr>
          <w:ilvl w:val="1"/>
          <w:numId w:val="29"/>
        </w:numPr>
        <w:adjustRightInd w:val="0"/>
        <w:snapToGrid w:val="0"/>
        <w:spacing w:beforeLines="50" w:before="120"/>
        <w:rPr>
          <w:rFonts w:ascii="Times New Roman" w:hAnsi="Times New Roman"/>
          <w:sz w:val="20"/>
          <w:szCs w:val="20"/>
        </w:rPr>
      </w:pPr>
      <w:r>
        <w:rPr>
          <w:rFonts w:ascii="Times New Roman" w:hAnsi="Times New Roman"/>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widowControl w:val="0"/>
        <w:numPr>
          <w:ilvl w:val="0"/>
          <w:numId w:val="28"/>
        </w:numPr>
        <w:snapToGrid w:val="0"/>
        <w:spacing w:beforeLines="50" w:before="120" w:after="0"/>
        <w:ind w:left="357" w:hanging="357"/>
        <w:jc w:val="both"/>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widowControl w:val="0"/>
        <w:numPr>
          <w:ilvl w:val="1"/>
          <w:numId w:val="28"/>
        </w:numPr>
        <w:snapToGrid w:val="0"/>
        <w:spacing w:beforeLines="50" w:before="120" w:after="0"/>
        <w:jc w:val="both"/>
      </w:pPr>
      <w:r w:rsidRPr="00587E35">
        <w:t>Alt-1: NCR forwarding is not required</w:t>
      </w:r>
      <w:r>
        <w:t xml:space="preserve"> in flexible symbols: </w:t>
      </w:r>
    </w:p>
    <w:p w14:paraId="5DA1F686" w14:textId="77777777" w:rsidR="0010502F" w:rsidRDefault="00065D5B">
      <w:pPr>
        <w:pStyle w:val="ListParagraph"/>
        <w:widowControl w:val="0"/>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Fujitsu, CATT, CMCC, Apple, KDDI, ZTE</w:t>
      </w:r>
    </w:p>
    <w:p w14:paraId="5DA1F687" w14:textId="77777777" w:rsidR="0010502F" w:rsidRDefault="00065D5B">
      <w:pPr>
        <w:widowControl w:val="0"/>
        <w:numPr>
          <w:ilvl w:val="1"/>
          <w:numId w:val="28"/>
        </w:numPr>
        <w:snapToGrid w:val="0"/>
        <w:spacing w:beforeLines="50" w:before="120" w:after="0"/>
        <w:jc w:val="both"/>
      </w:pPr>
      <w:r w:rsidRPr="00587E35">
        <w:t>Alt-2: NCR-Fwd is set to off</w:t>
      </w:r>
    </w:p>
    <w:p w14:paraId="5DA1F688" w14:textId="77777777" w:rsidR="0010502F" w:rsidRDefault="00065D5B">
      <w:pPr>
        <w:pStyle w:val="ListParagraph"/>
        <w:widowControl w:val="0"/>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Huawei/HiSilicon (OFF if not indicated by Option </w:t>
      </w:r>
      <w:proofErr w:type="gramStart"/>
      <w:ins w:id="129" w:author="ZTE" w:date="2022-08-21T21:28:00Z">
        <w:r>
          <w:rPr>
            <w:rFonts w:ascii="Times New Roman" w:hAnsi="Times New Roman"/>
            <w:sz w:val="20"/>
            <w:szCs w:val="20"/>
          </w:rPr>
          <w:t>3</w:t>
        </w:r>
        <w:r>
          <w:rPr>
            <w:rFonts w:ascii="Times New Roman" w:eastAsiaTheme="minorEastAsia" w:hAnsi="Times New Roman"/>
            <w:sz w:val="20"/>
            <w:szCs w:val="20"/>
          </w:rPr>
          <w:t>,Alt</w:t>
        </w:r>
        <w:proofErr w:type="gramEnd"/>
        <w:r>
          <w:rPr>
            <w:rFonts w:ascii="Times New Roman" w:eastAsiaTheme="minorEastAsia" w:hAnsi="Times New Roman"/>
            <w:sz w:val="20"/>
            <w:szCs w:val="20"/>
          </w:rPr>
          <w:t>-1</w:t>
        </w:r>
      </w:ins>
      <w:del w:id="130" w:author="ZTE" w:date="2022-08-21T21:28:00Z">
        <w:r>
          <w:rPr>
            <w:rFonts w:ascii="Times New Roman" w:hAnsi="Times New Roman"/>
            <w:sz w:val="20"/>
            <w:szCs w:val="20"/>
          </w:rPr>
          <w:delText>4</w:delText>
        </w:r>
      </w:del>
      <w:r>
        <w:rPr>
          <w:rFonts w:ascii="Times New Roman" w:hAnsi="Times New Roman"/>
          <w:sz w:val="20"/>
          <w:szCs w:val="20"/>
        </w:rPr>
        <w:t xml:space="preserve">), vivo (OFF if not indicated by Option </w:t>
      </w:r>
      <w:ins w:id="131" w:author="ZTE" w:date="2022-08-21T21:28:00Z">
        <w:r>
          <w:rPr>
            <w:rFonts w:ascii="Times New Roman" w:hAnsi="Times New Roman"/>
            <w:sz w:val="20"/>
            <w:szCs w:val="20"/>
          </w:rPr>
          <w:t>3</w:t>
        </w:r>
        <w:r>
          <w:rPr>
            <w:rFonts w:ascii="Times New Roman" w:eastAsiaTheme="minorEastAsia" w:hAnsi="Times New Roman"/>
            <w:sz w:val="20"/>
            <w:szCs w:val="20"/>
          </w:rPr>
          <w:t>,Alt-1</w:t>
        </w:r>
      </w:ins>
      <w:del w:id="132" w:author="ZTE" w:date="2022-08-21T21:28:00Z">
        <w:r>
          <w:rPr>
            <w:rFonts w:ascii="Times New Roman" w:hAnsi="Times New Roman"/>
            <w:sz w:val="20"/>
            <w:szCs w:val="20"/>
          </w:rPr>
          <w:delText>4</w:delText>
        </w:r>
      </w:del>
      <w:r>
        <w:rPr>
          <w:rFonts w:ascii="Times New Roman" w:hAnsi="Times New Roman"/>
          <w:sz w:val="20"/>
          <w:szCs w:val="20"/>
        </w:rPr>
        <w:t xml:space="preserve">), LGE (OFF if not indicated by Option </w:t>
      </w:r>
      <w:ins w:id="133" w:author="ZTE" w:date="2022-08-21T21:27:00Z">
        <w:r>
          <w:rPr>
            <w:rFonts w:ascii="Times New Roman" w:hAnsi="Times New Roman"/>
            <w:sz w:val="20"/>
            <w:szCs w:val="20"/>
          </w:rPr>
          <w:t>3</w:t>
        </w:r>
        <w:r>
          <w:rPr>
            <w:rFonts w:ascii="Times New Roman" w:eastAsiaTheme="minorEastAsia" w:hAnsi="Times New Roman"/>
            <w:sz w:val="20"/>
            <w:szCs w:val="20"/>
          </w:rPr>
          <w:t>,Alt-1</w:t>
        </w:r>
      </w:ins>
      <w:del w:id="134" w:author="ZTE" w:date="2022-08-21T21:27:00Z">
        <w:r>
          <w:rPr>
            <w:rFonts w:ascii="Times New Roman" w:hAnsi="Times New Roman"/>
            <w:sz w:val="20"/>
            <w:szCs w:val="20"/>
          </w:rPr>
          <w:delText>4</w:delText>
        </w:r>
      </w:del>
      <w:r>
        <w:rPr>
          <w:rFonts w:ascii="Times New Roman" w:hAnsi="Times New Roman"/>
          <w:sz w:val="20"/>
          <w:szCs w:val="20"/>
        </w:rPr>
        <w:t xml:space="preserve">), Samsung (OFF if not indicated by Option </w:t>
      </w:r>
      <w:del w:id="135" w:author="ZTE" w:date="2022-08-21T21:28:00Z">
        <w:r>
          <w:rPr>
            <w:rFonts w:ascii="Times New Roman" w:hAnsi="Times New Roman"/>
            <w:sz w:val="20"/>
            <w:szCs w:val="20"/>
          </w:rPr>
          <w:delText>4</w:delText>
        </w:r>
      </w:del>
      <w:ins w:id="136" w:author="ZTE" w:date="2022-08-21T21:28:00Z">
        <w:r>
          <w:rPr>
            <w:rFonts w:ascii="Times New Roman" w:hAnsi="Times New Roman"/>
            <w:sz w:val="20"/>
            <w:szCs w:val="20"/>
          </w:rPr>
          <w:t>3, Alt-2</w:t>
        </w:r>
      </w:ins>
      <w:r>
        <w:rPr>
          <w:rFonts w:ascii="Times New Roman" w:hAnsi="Times New Roman"/>
          <w:sz w:val="20"/>
          <w:szCs w:val="20"/>
        </w:rPr>
        <w:t>), ETRI</w:t>
      </w:r>
    </w:p>
    <w:p w14:paraId="5DA1F689" w14:textId="77777777" w:rsidR="0010502F" w:rsidRPr="00587E35" w:rsidRDefault="00065D5B">
      <w:pPr>
        <w:widowControl w:val="0"/>
        <w:numPr>
          <w:ilvl w:val="0"/>
          <w:numId w:val="28"/>
        </w:numPr>
        <w:snapToGrid w:val="0"/>
        <w:spacing w:beforeLines="50" w:before="120" w:after="0"/>
        <w:ind w:left="357" w:hanging="357"/>
        <w:jc w:val="both"/>
      </w:pPr>
      <w:r w:rsidRPr="00587E35">
        <w:t xml:space="preserve">Option </w:t>
      </w:r>
      <w:r>
        <w:t>3</w:t>
      </w:r>
      <w:r w:rsidRPr="00587E35">
        <w:t>: Enable dynamic indication of DL/UL</w:t>
      </w:r>
    </w:p>
    <w:p w14:paraId="5DA1F68A" w14:textId="77777777" w:rsidR="0010502F" w:rsidRPr="00587E35" w:rsidRDefault="00065D5B">
      <w:pPr>
        <w:widowControl w:val="0"/>
        <w:numPr>
          <w:ilvl w:val="1"/>
          <w:numId w:val="28"/>
        </w:numPr>
        <w:snapToGrid w:val="0"/>
        <w:spacing w:beforeLines="50" w:before="120" w:after="0"/>
        <w:jc w:val="both"/>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ListParagraph"/>
        <w:widowControl w:val="0"/>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Huawei/HiSilicon (DCI 2_0), vivo (DCI 2_0), LGE (DCI 2_0 or SCI), Sony (DCI 2_0 or new SCI), </w:t>
      </w:r>
      <w:proofErr w:type="spellStart"/>
      <w:r>
        <w:rPr>
          <w:rFonts w:ascii="Times New Roman" w:hAnsi="Times New Roman"/>
          <w:sz w:val="20"/>
          <w:szCs w:val="20"/>
        </w:rPr>
        <w:lastRenderedPageBreak/>
        <w:t>InterDigital</w:t>
      </w:r>
      <w:proofErr w:type="spellEnd"/>
      <w:r>
        <w:rPr>
          <w:rFonts w:ascii="Times New Roman" w:hAnsi="Times New Roman"/>
          <w:sz w:val="20"/>
          <w:szCs w:val="20"/>
        </w:rPr>
        <w:t xml:space="preserve"> (SCI), ETRI (DCI 2_0), Sharp (SCI)</w:t>
      </w:r>
    </w:p>
    <w:p w14:paraId="5DA1F68C" w14:textId="77777777" w:rsidR="0010502F" w:rsidRPr="00587E35" w:rsidRDefault="00065D5B">
      <w:pPr>
        <w:widowControl w:val="0"/>
        <w:numPr>
          <w:ilvl w:val="1"/>
          <w:numId w:val="28"/>
        </w:numPr>
        <w:snapToGrid w:val="0"/>
        <w:spacing w:beforeLines="50" w:before="120" w:after="0"/>
        <w:jc w:val="both"/>
      </w:pPr>
      <w:r>
        <w:t>Alt2: I</w:t>
      </w:r>
      <w:r>
        <w:rPr>
          <w:bCs/>
        </w:rPr>
        <w:t xml:space="preserve">ndicate </w:t>
      </w:r>
      <w:r>
        <w:t>a DL/UL direction jointly with other side control information</w:t>
      </w:r>
    </w:p>
    <w:p w14:paraId="5DA1F68D" w14:textId="77777777" w:rsidR="0010502F" w:rsidRDefault="00065D5B">
      <w:pPr>
        <w:pStyle w:val="ListParagraph"/>
        <w:widowControl w:val="0"/>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Qualcomm, Samsung </w:t>
      </w:r>
      <w:proofErr w:type="gramStart"/>
      <w:r>
        <w:rPr>
          <w:rFonts w:ascii="Times New Roman" w:hAnsi="Times New Roman"/>
          <w:sz w:val="20"/>
          <w:szCs w:val="20"/>
        </w:rPr>
        <w:t>(</w:t>
      </w:r>
      <w:r>
        <w:rPr>
          <w:rFonts w:ascii="Times New Roman" w:hAnsi="Times New Roman"/>
          <w:bCs/>
          <w:sz w:val="20"/>
          <w:szCs w:val="20"/>
        </w:rPr>
        <w:t xml:space="preserve"> jointly</w:t>
      </w:r>
      <w:proofErr w:type="gramEnd"/>
      <w:r>
        <w:rPr>
          <w:rFonts w:ascii="Times New Roman" w:hAnsi="Times New Roman"/>
          <w:bCs/>
          <w:sz w:val="20"/>
          <w:szCs w:val="20"/>
        </w:rPr>
        <w:t xml:space="preserve"> with a dynamic beam indication in a same L1/L2 signaling</w:t>
      </w:r>
      <w:r>
        <w:rPr>
          <w:rFonts w:ascii="Times New Roman" w:hAnsi="Times New Roman"/>
          <w:sz w:val="20"/>
          <w:szCs w:val="20"/>
        </w:rPr>
        <w:t>)</w:t>
      </w:r>
    </w:p>
    <w:p w14:paraId="5DA1F68E" w14:textId="77777777" w:rsidR="0010502F" w:rsidRPr="00587E35" w:rsidRDefault="00065D5B">
      <w:pPr>
        <w:widowControl w:val="0"/>
        <w:snapToGrid w:val="0"/>
        <w:spacing w:beforeLines="50" w:before="120" w:afterLines="50" w:after="120"/>
        <w:jc w:val="both"/>
      </w:pPr>
      <w:r>
        <w:rPr>
          <w:rFonts w:hint="eastAsia"/>
        </w:rPr>
        <w:t>Among the above</w:t>
      </w:r>
      <w:r>
        <w:t xml:space="preserve"> </w:t>
      </w:r>
      <w:r>
        <w:rPr>
          <w:rFonts w:hint="eastAsia"/>
        </w:rPr>
        <w:t xml:space="preserve">options, </w:t>
      </w:r>
      <w:r>
        <w:t xml:space="preserve">Option-1 is feasible but may introduce </w:t>
      </w:r>
      <w:proofErr w:type="gramStart"/>
      <w:r>
        <w:t>unexpected amplified</w:t>
      </w:r>
      <w:proofErr w:type="gramEnd"/>
      <w:r>
        <w:t xml:space="preserve">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w:t>
      </w:r>
      <w:proofErr w:type="gramStart"/>
      <w:r>
        <w:t>, actually, it’s</w:t>
      </w:r>
      <w:proofErr w:type="gramEnd"/>
      <w:r>
        <w:t xml:space="preserve">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Turning NCR-FWD off during flex adds unnecessary tight switching 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 xml:space="preserve">For the flexible symbol just configured by semi-static configuration, we don't agree with this proposal, as it brings a lot of scheduling restrictions. </w:t>
            </w:r>
            <w:r w:rsidRPr="00587E35">
              <w:rPr>
                <w:rFonts w:ascii="New York" w:hAnsi="New York"/>
              </w:rPr>
              <w:lastRenderedPageBreak/>
              <w:t>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lastRenderedPageBreak/>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pPr>
              <w:jc w:val="left"/>
              <w:rPr>
                <w:rFonts w:ascii="New York" w:hAnsi="New York"/>
              </w:rPr>
              <w:pPrChange w:id="152" w:author="Andjela Ilic-Savoia" w:date="2022-08-21T11:19:00Z">
                <w:pPr/>
              </w:pPrChange>
            </w:pPr>
            <w:ins w:id="153" w:author="Andjela Ilic-Savoia" w:date="2022-08-21T11:18: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B1" w14:textId="77777777" w:rsidR="0010502F" w:rsidRDefault="00065D5B">
            <w:pPr>
              <w:rPr>
                <w:rFonts w:ascii="New York" w:hAnsi="New York"/>
              </w:rPr>
            </w:pPr>
            <w:ins w:id="15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55" w:author="Andjela Ilic-Savoia" w:date="2022-08-21T11:20:00Z">
              <w:r w:rsidRPr="00587E35">
                <w:rPr>
                  <w:rFonts w:ascii="New York" w:hAnsi="New York"/>
                </w:rPr>
                <w:t>Having custom, NC</w:t>
              </w:r>
            </w:ins>
            <w:ins w:id="156" w:author="Andjela Ilic-Savoia" w:date="2022-08-21T11:21:00Z">
              <w:r w:rsidRPr="00587E35">
                <w:rPr>
                  <w:rFonts w:ascii="New York" w:hAnsi="New York"/>
                </w:rPr>
                <w:t xml:space="preserve">R – geared DCI to communicate that info would be one solution, </w:t>
              </w:r>
            </w:ins>
            <w:ins w:id="157" w:author="Andjela Ilic-Savoia" w:date="2022-08-21T11:22:00Z">
              <w:r w:rsidRPr="00587E35">
                <w:rPr>
                  <w:rFonts w:ascii="New York" w:hAnsi="New York"/>
                </w:rPr>
                <w:t>out-of-band/</w:t>
              </w:r>
            </w:ins>
            <w:ins w:id="158" w:author="Andjela Ilic-Savoia" w:date="2022-08-21T11:21:00Z">
              <w:r w:rsidRPr="00587E35">
                <w:rPr>
                  <w:rFonts w:ascii="New York" w:hAnsi="New York"/>
                </w:rPr>
                <w:t>OEM/preconfiguring would be another.</w:t>
              </w:r>
            </w:ins>
            <w:ins w:id="15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w:t>
            </w:r>
            <w:proofErr w:type="gramStart"/>
            <w:r w:rsidRPr="00587E35">
              <w:rPr>
                <w:rFonts w:ascii="New York" w:hAnsi="New York"/>
              </w:rPr>
              <w:t>links</w:t>
            </w:r>
            <w:proofErr w:type="gramEnd"/>
            <w:r w:rsidRPr="00587E35">
              <w:rPr>
                <w:rFonts w:ascii="New York" w:hAnsi="New York"/>
              </w:rPr>
              <w:t xml:space="preserve"> and it can be cell-specific. </w:t>
            </w:r>
          </w:p>
        </w:tc>
      </w:tr>
    </w:tbl>
    <w:p w14:paraId="5DA1F6B6"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Topic-4 Timing information</w:t>
      </w:r>
    </w:p>
    <w:p w14:paraId="5DA1F6B7"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B8" w14:textId="77777777" w:rsidR="0010502F" w:rsidRDefault="00065D5B">
      <w:pPr>
        <w:spacing w:beforeLines="50" w:before="120" w:afterLines="50" w:after="120"/>
        <w:jc w:val="both"/>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NormalWeb"/>
        <w:shd w:val="clear" w:color="auto" w:fill="FFFFFF"/>
        <w:spacing w:before="0" w:beforeAutospacing="0" w:after="0" w:afterAutospacing="0"/>
        <w:rPr>
          <w:rStyle w:val="Emphasis"/>
          <w:b/>
          <w:bCs/>
          <w:i w:val="0"/>
          <w:sz w:val="20"/>
          <w:szCs w:val="20"/>
          <w:highlight w:val="green"/>
          <w:shd w:val="clear" w:color="auto" w:fill="FFFF00"/>
        </w:rPr>
      </w:pPr>
      <w:r>
        <w:rPr>
          <w:rStyle w:val="Emphasis"/>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DL receiving timing of the NCR-Fwd is aligned with the DL receiving timing of the NCR-MT.</w:t>
      </w:r>
    </w:p>
    <w:p w14:paraId="5DA1F6BC"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UL transmitting timing of the NCR-Fwd is aligned with the UL transmitting timing of the NCR-MT.</w:t>
      </w:r>
    </w:p>
    <w:p w14:paraId="5DA1F6BD"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FFS: the impact of internal delay on the following timing relationships:</w:t>
      </w:r>
    </w:p>
    <w:p w14:paraId="5DA1F6BE" w14:textId="77777777" w:rsidR="0010502F" w:rsidRDefault="00065D5B">
      <w:pPr>
        <w:pStyle w:val="ListParagraph"/>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DL receiving timing and DL transmitting timing of the NCR-Fwd</w:t>
      </w:r>
    </w:p>
    <w:p w14:paraId="5DA1F6BF" w14:textId="77777777" w:rsidR="0010502F" w:rsidRDefault="00065D5B">
      <w:pPr>
        <w:pStyle w:val="ListParagraph"/>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UL transmitting timing and UL receiving timing of the NCR-Fwd</w:t>
      </w:r>
    </w:p>
    <w:p w14:paraId="5DA1F6C0" w14:textId="77777777" w:rsidR="0010502F" w:rsidRDefault="00065D5B">
      <w:pPr>
        <w:spacing w:beforeLines="50" w:before="120" w:afterLines="50" w:after="120"/>
        <w:jc w:val="both"/>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jc w:val="both"/>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jc w:val="both"/>
      </w:pPr>
      <w:r>
        <w:rPr>
          <w:rFonts w:hint="eastAsia"/>
          <w:szCs w:val="21"/>
        </w:rPr>
        <w:t>Thus,</w:t>
      </w:r>
      <w:r w:rsidRPr="00587E35">
        <w:rPr>
          <w:szCs w:val="21"/>
        </w:rPr>
        <w:t xml:space="preserve"> from FL’s perspective, we can conclude that no additional signalling is expected to control the timing relationship due to the internal delay, and </w:t>
      </w:r>
      <w:r w:rsidRPr="00587E35">
        <w:rPr>
          <w:rFonts w:hint="eastAsia"/>
          <w:szCs w:val="21"/>
        </w:rPr>
        <w:t xml:space="preserve">the following proposal is </w:t>
      </w:r>
      <w:r w:rsidRPr="00587E35">
        <w:rPr>
          <w:szCs w:val="21"/>
        </w:rPr>
        <w:t>provided to describe the NCR-</w:t>
      </w:r>
      <w:proofErr w:type="spellStart"/>
      <w:r w:rsidRPr="00587E35">
        <w:rPr>
          <w:szCs w:val="21"/>
        </w:rPr>
        <w:t>Fwd’s</w:t>
      </w:r>
      <w:proofErr w:type="spellEnd"/>
      <w:r w:rsidRPr="00587E35">
        <w:rPr>
          <w:szCs w:val="21"/>
        </w:rPr>
        <w:t xml:space="preserve"> </w:t>
      </w:r>
      <w:proofErr w:type="spellStart"/>
      <w:r w:rsidRPr="00587E35">
        <w:rPr>
          <w:szCs w:val="21"/>
        </w:rPr>
        <w:t>behaviour</w:t>
      </w:r>
      <w:proofErr w:type="spellEnd"/>
      <w:r w:rsidRPr="00587E35">
        <w:rPr>
          <w:rFonts w:hint="eastAsia"/>
          <w:szCs w:val="21"/>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ListParagraph"/>
        <w:widowControl w:val="0"/>
        <w:numPr>
          <w:ilvl w:val="0"/>
          <w:numId w:val="31"/>
        </w:numPr>
        <w:jc w:val="both"/>
        <w:rPr>
          <w:rFonts w:ascii="Times New Roman" w:eastAsia="Malgun Gothic" w:hAnsi="Times New Roman"/>
          <w:i/>
          <w:iCs/>
          <w:sz w:val="20"/>
          <w:szCs w:val="20"/>
          <w:highlight w:val="yellow"/>
        </w:rPr>
      </w:pPr>
      <w:r>
        <w:rPr>
          <w:rFonts w:ascii="Times New Roman" w:eastAsia="Malgun Gothic" w:hAnsi="Times New Roman"/>
          <w:i/>
          <w:iCs/>
          <w:sz w:val="20"/>
          <w:szCs w:val="20"/>
          <w:highlight w:val="yellow"/>
        </w:rPr>
        <w:t xml:space="preserve">The DL transmitting timing of the NCR-Fwd is delayed after the DL receiving timing of the NCR-MT (or the NCR-Fwd) by the internal </w:t>
      </w:r>
      <w:proofErr w:type="gramStart"/>
      <w:r>
        <w:rPr>
          <w:rFonts w:ascii="Times New Roman" w:eastAsia="Malgun Gothic" w:hAnsi="Times New Roman"/>
          <w:i/>
          <w:iCs/>
          <w:sz w:val="20"/>
          <w:szCs w:val="20"/>
          <w:highlight w:val="yellow"/>
        </w:rPr>
        <w:t>delay;</w:t>
      </w:r>
      <w:proofErr w:type="gramEnd"/>
      <w:r>
        <w:rPr>
          <w:rFonts w:ascii="Times New Roman" w:eastAsia="Malgun Gothic" w:hAnsi="Times New Roman"/>
          <w:i/>
          <w:iCs/>
          <w:sz w:val="20"/>
          <w:szCs w:val="20"/>
          <w:highlight w:val="yellow"/>
        </w:rPr>
        <w:t xml:space="preserve"> </w:t>
      </w:r>
    </w:p>
    <w:p w14:paraId="5DA1F6C5" w14:textId="77777777" w:rsidR="0010502F" w:rsidRDefault="00065D5B">
      <w:pPr>
        <w:pStyle w:val="ListParagraph"/>
        <w:widowControl w:val="0"/>
        <w:numPr>
          <w:ilvl w:val="0"/>
          <w:numId w:val="31"/>
        </w:numPr>
        <w:jc w:val="both"/>
        <w:rPr>
          <w:rFonts w:ascii="Times New Roman" w:hAnsi="Times New Roman"/>
          <w:i/>
          <w:iCs/>
          <w:sz w:val="20"/>
          <w:szCs w:val="20"/>
          <w:highlight w:val="yellow"/>
        </w:rPr>
      </w:pPr>
      <w:r>
        <w:rPr>
          <w:rFonts w:ascii="Times New Roman" w:eastAsia="Malgun Gothic" w:hAnsi="Times New Roman"/>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ListParagraph"/>
        <w:widowControl w:val="0"/>
        <w:numPr>
          <w:ilvl w:val="0"/>
          <w:numId w:val="31"/>
        </w:numPr>
        <w:jc w:val="both"/>
        <w:rPr>
          <w:rFonts w:ascii="Times New Roman" w:hAnsi="Times New Roman"/>
          <w:i/>
          <w:iCs/>
          <w:sz w:val="20"/>
          <w:szCs w:val="20"/>
          <w:highlight w:val="yellow"/>
        </w:rPr>
      </w:pPr>
      <w:r>
        <w:rPr>
          <w:rFonts w:ascii="Times New Roman" w:eastAsia="Malgun Gothic" w:hAnsi="Times New Roman"/>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C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szCs w:val="21"/>
              </w:rPr>
            </w:pPr>
            <w:ins w:id="160" w:author="Andjela Ilic-Savoia" w:date="2022-08-21T11:25: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CF" w14:textId="77777777" w:rsidR="0010502F" w:rsidRDefault="00065D5B">
            <w:pPr>
              <w:rPr>
                <w:rFonts w:ascii="New York" w:hAnsi="New York"/>
                <w:szCs w:val="21"/>
              </w:rPr>
            </w:pPr>
            <w:ins w:id="161" w:author="Andjela Ilic-Savoia" w:date="2022-08-21T11:25:00Z">
              <w:r>
                <w:rPr>
                  <w:rFonts w:ascii="New York" w:hAnsi="New York"/>
                  <w:szCs w:val="21"/>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szCs w:val="21"/>
              </w:rPr>
            </w:pPr>
            <w:r>
              <w:rPr>
                <w:rFonts w:ascii="New York" w:hAnsi="New York"/>
                <w:szCs w:val="21"/>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szCs w:val="21"/>
              </w:rPr>
            </w:pPr>
            <w:r>
              <w:rPr>
                <w:rFonts w:ascii="New York" w:hAnsi="New York"/>
                <w:szCs w:val="21"/>
              </w:rPr>
              <w:t>Support.</w:t>
            </w:r>
          </w:p>
        </w:tc>
      </w:tr>
    </w:tbl>
    <w:p w14:paraId="5DA1F6D4" w14:textId="77777777" w:rsidR="0010502F" w:rsidRDefault="00065D5B">
      <w:pPr>
        <w:spacing w:beforeLines="50" w:before="120"/>
        <w:jc w:val="both"/>
      </w:pPr>
      <w:r>
        <w:rPr>
          <w:rFonts w:eastAsia="Malgun Gothic" w:hint="eastAsia"/>
          <w:iCs/>
        </w:rPr>
        <w:lastRenderedPageBreak/>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gNB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support that the internal delay should  be reported  to the gNB</w:t>
      </w:r>
      <w:r>
        <w:rPr>
          <w:rFonts w:hint="eastAsia"/>
        </w:rPr>
        <w:t>.</w:t>
      </w:r>
    </w:p>
    <w:p w14:paraId="5DA1F6D5" w14:textId="77777777" w:rsidR="0010502F" w:rsidRPr="00587E35" w:rsidRDefault="00065D5B">
      <w:pPr>
        <w:spacing w:beforeLines="50" w:before="120"/>
        <w:jc w:val="both"/>
        <w:rPr>
          <w:bCs/>
          <w:szCs w:val="21"/>
        </w:rPr>
      </w:pPr>
      <w:r>
        <w:rPr>
          <w:rFonts w:hint="eastAsia"/>
          <w:szCs w:val="21"/>
        </w:rPr>
        <w:t>Thus,</w:t>
      </w:r>
      <w:r w:rsidRPr="00587E35">
        <w:rPr>
          <w:szCs w:val="21"/>
        </w:rPr>
        <w:t xml:space="preserve"> from FL’s perspective, </w:t>
      </w:r>
      <w:r w:rsidRPr="00587E35">
        <w:rPr>
          <w:rFonts w:hint="eastAsia"/>
          <w:szCs w:val="21"/>
        </w:rPr>
        <w:t>the following proposal is recommended:</w:t>
      </w:r>
    </w:p>
    <w:p w14:paraId="5DA1F6D6" w14:textId="77777777" w:rsidR="0010502F" w:rsidRPr="00587E35" w:rsidRDefault="00065D5B">
      <w:pPr>
        <w:widowControl w:val="0"/>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D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E0" w14:textId="77777777">
        <w:trPr>
          <w:jc w:val="center"/>
        </w:trPr>
        <w:tc>
          <w:tcPr>
            <w:tcW w:w="1955" w:type="dxa"/>
          </w:tcPr>
          <w:p w14:paraId="5DA1F6DE" w14:textId="77777777" w:rsidR="0010502F" w:rsidRDefault="00065D5B">
            <w:pPr>
              <w:jc w:val="left"/>
              <w:rPr>
                <w:rFonts w:ascii="New York" w:hAnsi="New York"/>
                <w:szCs w:val="21"/>
              </w:rPr>
              <w:pPrChange w:id="162" w:author="Andjela Ilic-Savoia" w:date="2022-08-21T11:26:00Z">
                <w:pPr/>
              </w:pPrChange>
            </w:pPr>
            <w:ins w:id="163" w:author="Andjela Ilic-Savoia" w:date="2022-08-21T11:26: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DF" w14:textId="77777777" w:rsidR="0010502F" w:rsidRDefault="00065D5B">
            <w:pPr>
              <w:rPr>
                <w:rFonts w:ascii="New York" w:hAnsi="New York"/>
                <w:szCs w:val="21"/>
              </w:rPr>
            </w:pPr>
            <w:ins w:id="164" w:author="Andjela Ilic-Savoia" w:date="2022-08-21T11:26:00Z">
              <w:r>
                <w:rPr>
                  <w:rFonts w:ascii="New York" w:hAnsi="New York"/>
                  <w:szCs w:val="21"/>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szCs w:val="21"/>
              </w:rPr>
            </w:pPr>
            <w:r w:rsidRPr="00587E35">
              <w:rPr>
                <w:rFonts w:ascii="New York" w:hAnsi="New York"/>
                <w:szCs w:val="21"/>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szCs w:val="21"/>
              </w:rPr>
              <w:t>Panasonic</w:t>
            </w:r>
          </w:p>
        </w:tc>
        <w:tc>
          <w:tcPr>
            <w:tcW w:w="6567" w:type="dxa"/>
          </w:tcPr>
          <w:p w14:paraId="5DA1F6E5" w14:textId="77777777" w:rsidR="0010502F" w:rsidRPr="00587E35" w:rsidRDefault="00065D5B">
            <w:pPr>
              <w:rPr>
                <w:rFonts w:ascii="New York" w:hAnsi="New York"/>
                <w:szCs w:val="21"/>
              </w:rPr>
            </w:pPr>
            <w:r w:rsidRPr="00587E35">
              <w:rPr>
                <w:rFonts w:ascii="New York" w:hAnsi="New York"/>
                <w:szCs w:val="21"/>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szCs w:val="21"/>
              </w:rPr>
            </w:pPr>
            <w:r>
              <w:rPr>
                <w:rFonts w:ascii="New York" w:hAnsi="New York"/>
                <w:szCs w:val="21"/>
              </w:rPr>
              <w:t>Sony</w:t>
            </w:r>
          </w:p>
        </w:tc>
        <w:tc>
          <w:tcPr>
            <w:tcW w:w="6567" w:type="dxa"/>
          </w:tcPr>
          <w:p w14:paraId="2D5C6DC5" w14:textId="6EAF6E29" w:rsidR="008C0C21" w:rsidRPr="00587E35" w:rsidRDefault="008C0C21">
            <w:pPr>
              <w:rPr>
                <w:rFonts w:ascii="New York" w:hAnsi="New York"/>
                <w:szCs w:val="21"/>
              </w:rPr>
            </w:pPr>
            <w:r>
              <w:rPr>
                <w:rFonts w:ascii="New York" w:hAnsi="New York"/>
                <w:szCs w:val="21"/>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szCs w:val="21"/>
              </w:rPr>
            </w:pPr>
            <w:r>
              <w:rPr>
                <w:rFonts w:ascii="New York" w:hAnsi="New York"/>
                <w:szCs w:val="21"/>
              </w:rPr>
              <w:t>CATT1</w:t>
            </w:r>
          </w:p>
        </w:tc>
        <w:tc>
          <w:tcPr>
            <w:tcW w:w="6567" w:type="dxa"/>
          </w:tcPr>
          <w:p w14:paraId="25C05AAF" w14:textId="6E1D6390" w:rsidR="0065052D" w:rsidRDefault="0065052D" w:rsidP="0065052D">
            <w:pPr>
              <w:rPr>
                <w:rFonts w:ascii="New York" w:hAnsi="New York"/>
                <w:szCs w:val="21"/>
              </w:rPr>
            </w:pPr>
            <w:r>
              <w:rPr>
                <w:rFonts w:ascii="New York" w:hAnsi="New York"/>
                <w:szCs w:val="21"/>
              </w:rPr>
              <w:t>OK</w:t>
            </w:r>
          </w:p>
        </w:tc>
      </w:tr>
    </w:tbl>
    <w:p w14:paraId="5DA1F6E7"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14:paraId="5DA1F6E8"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ListParagraph"/>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[H</w:t>
      </w:r>
      <w:r>
        <w:rPr>
          <w:rFonts w:ascii="Times New Roman" w:hAnsi="Times New Roman"/>
          <w:sz w:val="20"/>
          <w:szCs w:val="20"/>
        </w:rPr>
        <w:t xml:space="preserve">uawei, </w:t>
      </w:r>
      <w:proofErr w:type="spellStart"/>
      <w:r>
        <w:rPr>
          <w:rFonts w:ascii="Times New Roman" w:hAnsi="Times New Roman"/>
          <w:sz w:val="20"/>
          <w:szCs w:val="20"/>
        </w:rPr>
        <w:t>Spreadtrum</w:t>
      </w:r>
      <w:proofErr w:type="spellEnd"/>
      <w:r>
        <w:rPr>
          <w:rFonts w:ascii="Times New Roman" w:hAnsi="Times New Roman"/>
          <w:sz w:val="20"/>
          <w:szCs w:val="20"/>
        </w:rPr>
        <w:t xml:space="preserve">, ZTE, vivo, Fujitsu, CATT, CMCC, MediaTek, </w:t>
      </w:r>
      <w:proofErr w:type="spellStart"/>
      <w:r>
        <w:rPr>
          <w:rFonts w:ascii="Times New Roman" w:hAnsi="Times New Roman"/>
          <w:sz w:val="20"/>
          <w:szCs w:val="20"/>
        </w:rPr>
        <w:t>CEWiT</w:t>
      </w:r>
      <w:proofErr w:type="spellEnd"/>
      <w:r>
        <w:rPr>
          <w:rFonts w:ascii="Times New Roman" w:hAnsi="Times New Roman"/>
          <w:sz w:val="20"/>
          <w:szCs w:val="20"/>
        </w:rPr>
        <w:t xml:space="preserve">, IITK, Qualcomm, Lenovo, LGE, KDDI, </w:t>
      </w:r>
      <w:proofErr w:type="gramStart"/>
      <w:r>
        <w:rPr>
          <w:rFonts w:ascii="Times New Roman" w:hAnsi="Times New Roman"/>
          <w:sz w:val="20"/>
          <w:szCs w:val="20"/>
        </w:rPr>
        <w:t>Ericsson(</w:t>
      </w:r>
      <w:proofErr w:type="gramEnd"/>
      <w:r>
        <w:rPr>
          <w:rFonts w:ascii="Times New Roman" w:hAnsi="Times New Roman"/>
          <w:sz w:val="20"/>
          <w:szCs w:val="20"/>
        </w:rPr>
        <w:t>only for self-oscillation)</w:t>
      </w:r>
      <w:r>
        <w:rPr>
          <w:rFonts w:ascii="Times New Roman" w:eastAsiaTheme="minorEastAsia" w:hAnsi="Times New Roman"/>
          <w:sz w:val="20"/>
          <w:szCs w:val="20"/>
        </w:rPr>
        <w:t>] still prefer to support this feature for NCR, while [</w:t>
      </w:r>
      <w:r>
        <w:rPr>
          <w:rFonts w:ascii="Times New Roman" w:hAnsi="Times New Roman"/>
          <w:sz w:val="20"/>
          <w:szCs w:val="20"/>
        </w:rPr>
        <w:t>Sony, Intel, Samsung, NTT DOCOMO, Apple</w:t>
      </w:r>
      <w:r>
        <w:rPr>
          <w:rFonts w:ascii="Times New Roman" w:eastAsiaTheme="minorEastAsia" w:hAnsi="Times New Roman"/>
          <w:sz w:val="20"/>
          <w:szCs w:val="20"/>
        </w:rPr>
        <w:t xml:space="preserve">] prefer to deprioritize the power control information. </w:t>
      </w:r>
    </w:p>
    <w:p w14:paraId="5DA1F6EB" w14:textId="77777777" w:rsidR="0010502F" w:rsidRDefault="00065D5B">
      <w:pPr>
        <w:pStyle w:val="ListParagraph"/>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 xml:space="preserve">[ZTE, Panasonic, Fujitsu, </w:t>
      </w:r>
      <w:r>
        <w:rPr>
          <w:rFonts w:ascii="Times New Roman" w:eastAsiaTheme="minorEastAsia" w:hAnsi="Times New Roman"/>
          <w:sz w:val="20"/>
          <w:szCs w:val="20"/>
        </w:rPr>
        <w:t>OPPO</w:t>
      </w:r>
      <w:r>
        <w:rPr>
          <w:rFonts w:ascii="Times New Roman" w:eastAsiaTheme="minorEastAsia" w:hAnsi="Times New Roman" w:hint="eastAsia"/>
          <w:sz w:val="20"/>
          <w:szCs w:val="20"/>
        </w:rPr>
        <w:t>, CATT</w:t>
      </w:r>
      <w:r>
        <w:rPr>
          <w:rFonts w:ascii="Times New Roman" w:eastAsiaTheme="minorEastAsia" w:hAnsi="Times New Roman"/>
          <w:sz w:val="20"/>
          <w:szCs w:val="20"/>
        </w:rPr>
        <w:t>, KDDI</w:t>
      </w:r>
      <w:r>
        <w:rPr>
          <w:rFonts w:ascii="Times New Roman" w:eastAsiaTheme="minorEastAsia" w:hAnsi="Times New Roman" w:hint="eastAsia"/>
          <w:sz w:val="20"/>
          <w:szCs w:val="20"/>
        </w:rPr>
        <w:t xml:space="preserve">] support the semi-static indication mechanism of amplifying gain, while [Huawei, NCE, ETRI] supports the </w:t>
      </w:r>
      <w:r>
        <w:rPr>
          <w:rFonts w:ascii="Times New Roman" w:eastAsiaTheme="minorEastAsia" w:hAnsi="Times New Roman"/>
          <w:sz w:val="20"/>
          <w:szCs w:val="20"/>
        </w:rPr>
        <w:t xml:space="preserve">dynamic </w:t>
      </w:r>
      <w:r>
        <w:rPr>
          <w:rFonts w:ascii="Times New Roman" w:eastAsiaTheme="minorEastAsia" w:hAnsi="Times New Roman" w:hint="eastAsia"/>
          <w:sz w:val="20"/>
          <w:szCs w:val="20"/>
        </w:rPr>
        <w:t>power control. [LGE] supports both semi-static and dynamic power control.</w:t>
      </w:r>
    </w:p>
    <w:p w14:paraId="5DA1F6EC" w14:textId="77777777" w:rsidR="0010502F" w:rsidRDefault="00065D5B">
      <w:pPr>
        <w:pStyle w:val="ListParagraph"/>
        <w:numPr>
          <w:ilvl w:val="0"/>
          <w:numId w:val="32"/>
        </w:numPr>
        <w:snapToGrid w:val="0"/>
        <w:spacing w:beforeLines="50" w:before="120" w:afterLines="50" w:after="120"/>
        <w:rPr>
          <w:rFonts w:ascii="Times New Roman" w:eastAsia="宋体" w:hAnsi="Times New Roman"/>
          <w:sz w:val="20"/>
          <w:szCs w:val="20"/>
        </w:rPr>
      </w:pPr>
      <w:r>
        <w:rPr>
          <w:rFonts w:ascii="Times New Roman" w:eastAsiaTheme="minorEastAsia" w:hAnsi="Times New Roman"/>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w:t>
      </w:r>
      <w:proofErr w:type="gramStart"/>
      <w:r>
        <w:rPr>
          <w:rFonts w:ascii="Times New Roman" w:eastAsiaTheme="minorEastAsia" w:hAnsi="Times New Roman"/>
          <w:sz w:val="20"/>
          <w:szCs w:val="20"/>
        </w:rPr>
        <w:t>assuming that</w:t>
      </w:r>
      <w:proofErr w:type="gramEnd"/>
      <w:r>
        <w:rPr>
          <w:rFonts w:ascii="Times New Roman" w:eastAsiaTheme="minorEastAsia" w:hAnsi="Times New Roman"/>
          <w:sz w:val="20"/>
          <w:szCs w:val="20"/>
        </w:rPr>
        <w:t xml:space="preserve">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lastRenderedPageBreak/>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w:t>
      </w:r>
      <w:proofErr w:type="spellStart"/>
      <w:r w:rsidRPr="00587E35">
        <w:rPr>
          <w:i/>
          <w:iCs/>
          <w:highlight w:val="yellow"/>
        </w:rPr>
        <w:t>Fwd</w:t>
      </w:r>
      <w:proofErr w:type="spellEnd"/>
      <w:r w:rsidRPr="00587E35">
        <w:rPr>
          <w:i/>
          <w:iCs/>
          <w:highlight w:val="yellow"/>
        </w:rPr>
        <w:t xml:space="preserve">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5" w:author="Andjela Ilic-Savoia" w:date="2022-08-21T11:2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FD" w14:textId="77777777" w:rsidR="0010502F" w:rsidRPr="00587E35" w:rsidRDefault="00065D5B">
            <w:pPr>
              <w:rPr>
                <w:ins w:id="166" w:author="Andjela Ilic-Savoia" w:date="2022-08-21T11:33:00Z"/>
                <w:rFonts w:ascii="New York" w:hAnsi="New York"/>
              </w:rPr>
            </w:pPr>
            <w:ins w:id="167" w:author="Andjela Ilic-Savoia" w:date="2022-08-21T11:30:00Z">
              <w:r w:rsidRPr="00587E35">
                <w:rPr>
                  <w:rFonts w:ascii="New York" w:hAnsi="New York"/>
                </w:rPr>
                <w:t xml:space="preserve">We do not support Power Control as semi-static configurable parameter. </w:t>
              </w:r>
            </w:ins>
            <w:ins w:id="168" w:author="Andjela Ilic-Savoia" w:date="2022-08-21T11:33:00Z">
              <w:r w:rsidRPr="00587E35">
                <w:rPr>
                  <w:rFonts w:ascii="New York" w:hAnsi="New York"/>
                </w:rPr>
                <w:t xml:space="preserve">We </w:t>
              </w:r>
            </w:ins>
            <w:ins w:id="169" w:author="Andjela Ilic-Savoia" w:date="2022-08-21T11:34:00Z">
              <w:r w:rsidRPr="00587E35">
                <w:rPr>
                  <w:rFonts w:ascii="New York" w:hAnsi="New York"/>
                  <w:u w:val="single"/>
                  <w:rPrChange w:id="170" w:author="Andjela Ilic-Savoia" w:date="2022-08-21T11:34:00Z">
                    <w:rPr/>
                  </w:rPrChange>
                </w:rPr>
                <w:t>do</w:t>
              </w:r>
              <w:r w:rsidRPr="00587E35">
                <w:rPr>
                  <w:rFonts w:ascii="New York" w:hAnsi="New York"/>
                </w:rPr>
                <w:t xml:space="preserve"> </w:t>
              </w:r>
            </w:ins>
            <w:ins w:id="171"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2" w:author="Andjela Ilic-Savoia" w:date="2022-08-21T11:27:00Z">
              <w:r w:rsidRPr="00587E35">
                <w:rPr>
                  <w:rFonts w:ascii="New York" w:hAnsi="New York"/>
                </w:rPr>
                <w:t xml:space="preserve">As we pointed out in </w:t>
              </w:r>
            </w:ins>
            <w:ins w:id="173" w:author="Andjela Ilic-Savoia" w:date="2022-08-21T11:28:00Z">
              <w:r w:rsidRPr="00587E35">
                <w:rPr>
                  <w:rFonts w:ascii="New York" w:hAnsi="New York"/>
                </w:rPr>
                <w:t>R1-2205813</w:t>
              </w:r>
            </w:ins>
            <w:ins w:id="174" w:author="Andjela Ilic-Savoia" w:date="2022-08-21T11:30:00Z">
              <w:r w:rsidRPr="00587E35">
                <w:rPr>
                  <w:rFonts w:ascii="New York" w:hAnsi="New York"/>
                </w:rPr>
                <w:t xml:space="preserve"> through two examples </w:t>
              </w:r>
            </w:ins>
            <w:ins w:id="175" w:author="Andjela Ilic-Savoia" w:date="2022-08-21T11:31:00Z">
              <w:r w:rsidRPr="00587E35">
                <w:rPr>
                  <w:rFonts w:ascii="New York" w:hAnsi="New York"/>
                </w:rPr>
                <w:t>(UL and DL)</w:t>
              </w:r>
            </w:ins>
            <w:ins w:id="176" w:author="Andjela Ilic-Savoia" w:date="2022-08-21T11:28:00Z">
              <w:r w:rsidRPr="00587E35">
                <w:rPr>
                  <w:rFonts w:ascii="New York" w:hAnsi="New York"/>
                </w:rPr>
                <w:t xml:space="preserve"> </w:t>
              </w:r>
            </w:ins>
            <w:ins w:id="177" w:author="Andjela Ilic-Savoia" w:date="2022-08-21T11:29:00Z">
              <w:r w:rsidRPr="00587E35">
                <w:rPr>
                  <w:rFonts w:ascii="New York" w:hAnsi="New York"/>
                </w:rPr>
                <w:t xml:space="preserve">power control needs </w:t>
              </w:r>
            </w:ins>
            <w:ins w:id="178"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9" w:author="Andjela Ilic-Savoia" w:date="2022-08-21T11:34:00Z">
              <w:r w:rsidRPr="00587E35">
                <w:rPr>
                  <w:rFonts w:ascii="New York" w:hAnsi="New York"/>
                </w:rPr>
                <w:t>oscillation</w:t>
              </w:r>
            </w:ins>
            <w:ins w:id="180" w:author="Andjela Ilic-Savoia" w:date="2022-08-21T11:32:00Z">
              <w:r w:rsidRPr="00587E35">
                <w:rPr>
                  <w:rFonts w:ascii="New York" w:hAnsi="New York"/>
                </w:rPr>
                <w:t>)</w:t>
              </w:r>
            </w:ins>
            <w:ins w:id="181" w:author="Andjela Ilic-Savoia" w:date="2022-08-21T11:34:00Z">
              <w:r w:rsidRPr="00587E35">
                <w:rPr>
                  <w:rFonts w:ascii="New York" w:hAnsi="New York"/>
                </w:rPr>
                <w:t xml:space="preserve">. </w:t>
              </w:r>
              <w:r>
                <w:rPr>
                  <w:rFonts w:ascii="New York" w:hAnsi="New York"/>
                </w:rPr>
                <w:t xml:space="preserve">We also think </w:t>
              </w:r>
            </w:ins>
            <w:ins w:id="182" w:author="Andjela Ilic-Savoia" w:date="2022-08-21T11:36:00Z">
              <w:r>
                <w:rPr>
                  <w:rFonts w:ascii="New York" w:hAnsi="New York"/>
                </w:rPr>
                <w:t xml:space="preserve">it can be </w:t>
              </w:r>
            </w:ins>
            <w:ins w:id="183"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705" w14:textId="77777777" w:rsidR="0010502F" w:rsidRDefault="00065D5B">
      <w:pPr>
        <w:pStyle w:val="NormalWeb"/>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ListParagraph"/>
        <w:numPr>
          <w:ilvl w:val="0"/>
          <w:numId w:val="12"/>
        </w:numPr>
        <w:jc w:val="both"/>
        <w:rPr>
          <w:rFonts w:ascii="Times New Roman" w:hAnsi="Times New Roman"/>
          <w:i/>
          <w:sz w:val="20"/>
          <w:szCs w:val="20"/>
        </w:rPr>
      </w:pPr>
      <w:r>
        <w:rPr>
          <w:rFonts w:ascii="Times New Roman" w:hAnsi="Times New Roman"/>
          <w:i/>
          <w:sz w:val="20"/>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lastRenderedPageBreak/>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4" w:author="Andjela Ilic-Savoia" w:date="2022-08-21T11:3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0E" w14:textId="77777777" w:rsidR="0010502F" w:rsidRDefault="00065D5B">
            <w:pPr>
              <w:rPr>
                <w:rFonts w:ascii="New York" w:hAnsi="New York"/>
              </w:rPr>
            </w:pPr>
            <w:ins w:id="185" w:author="Andjela Ilic-Savoia" w:date="2022-08-21T11:37:00Z">
              <w:r w:rsidRPr="00587E35">
                <w:rPr>
                  <w:rFonts w:ascii="New York" w:hAnsi="New York"/>
                </w:rPr>
                <w:t xml:space="preserve">For the reasons already mentioned, we do not support </w:t>
              </w:r>
            </w:ins>
            <w:ins w:id="186" w:author="Andjela Ilic-Savoia" w:date="2022-08-21T11:39:00Z">
              <w:r w:rsidRPr="00587E35">
                <w:rPr>
                  <w:rFonts w:ascii="New York" w:hAnsi="New York"/>
                </w:rPr>
                <w:t xml:space="preserve">outside </w:t>
              </w:r>
            </w:ins>
            <w:ins w:id="187" w:author="Andjela Ilic-Savoia" w:date="2022-08-21T11:37:00Z">
              <w:r w:rsidRPr="00587E35">
                <w:rPr>
                  <w:rFonts w:ascii="New York" w:hAnsi="New York"/>
                </w:rPr>
                <w:t>control of</w:t>
              </w:r>
            </w:ins>
            <w:ins w:id="188" w:author="Andjela Ilic-Savoia" w:date="2022-08-21T11:39:00Z">
              <w:r w:rsidRPr="00587E35">
                <w:rPr>
                  <w:rFonts w:ascii="New York" w:hAnsi="New York"/>
                </w:rPr>
                <w:t xml:space="preserve"> NCR</w:t>
              </w:r>
            </w:ins>
            <w:ins w:id="189" w:author="Andjela Ilic-Savoia" w:date="2022-08-21T11:37:00Z">
              <w:r w:rsidRPr="00587E35">
                <w:rPr>
                  <w:rFonts w:ascii="New York" w:hAnsi="New York"/>
                </w:rPr>
                <w:t xml:space="preserve"> gain, bu</w:t>
              </w:r>
            </w:ins>
            <w:ins w:id="190" w:author="Andjela Ilic-Savoia" w:date="2022-08-21T11:38:00Z">
              <w:r w:rsidRPr="00587E35">
                <w:rPr>
                  <w:rFonts w:ascii="New York" w:hAnsi="New York"/>
                </w:rPr>
                <w:t>t we support capping the gain or E</w:t>
              </w:r>
            </w:ins>
            <w:ins w:id="191" w:author="Andjela Ilic-Savoia" w:date="2022-08-21T11:39:00Z">
              <w:r w:rsidRPr="00587E35">
                <w:rPr>
                  <w:rFonts w:ascii="New York" w:hAnsi="New York"/>
                </w:rPr>
                <w:t>I</w:t>
              </w:r>
            </w:ins>
            <w:ins w:id="192" w:author="Andjela Ilic-Savoia" w:date="2022-08-21T11:38:00Z">
              <w:r w:rsidRPr="00587E35">
                <w:rPr>
                  <w:rFonts w:ascii="New York" w:hAnsi="New York"/>
                </w:rPr>
                <w:t>RP to what Operator considers desirable.</w:t>
              </w:r>
            </w:ins>
            <w:ins w:id="193"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bl>
    <w:p w14:paraId="5DA1F716" w14:textId="77777777" w:rsidR="0010502F" w:rsidRDefault="00065D5B">
      <w:pPr>
        <w:pStyle w:val="ListParagraph"/>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Meanwhile, other aspects related to the </w:t>
      </w:r>
      <w:r>
        <w:rPr>
          <w:rFonts w:ascii="Times New Roman" w:eastAsiaTheme="minorEastAsia" w:hAnsi="Times New Roman" w:hint="eastAsia"/>
          <w:sz w:val="20"/>
          <w:szCs w:val="20"/>
        </w:rPr>
        <w:t>power control information</w:t>
      </w:r>
      <w:r>
        <w:rPr>
          <w:rFonts w:ascii="Times New Roman" w:eastAsiaTheme="minorEastAsia" w:hAnsi="Times New Roman"/>
          <w:sz w:val="20"/>
          <w:szCs w:val="20"/>
        </w:rPr>
        <w:t xml:space="preserve"> are also proposed by companies including:</w:t>
      </w:r>
    </w:p>
    <w:p w14:paraId="5DA1F717" w14:textId="77777777" w:rsidR="0010502F" w:rsidRDefault="00065D5B">
      <w:pPr>
        <w:pStyle w:val="ListParagraph"/>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[Huawei, Panasonic, </w:t>
      </w:r>
      <w:proofErr w:type="spellStart"/>
      <w:r>
        <w:rPr>
          <w:rFonts w:ascii="Times New Roman" w:eastAsiaTheme="minorEastAsia" w:hAnsi="Times New Roman"/>
          <w:sz w:val="20"/>
          <w:szCs w:val="20"/>
        </w:rPr>
        <w:t>CEWiT</w:t>
      </w:r>
      <w:proofErr w:type="spellEnd"/>
      <w:r>
        <w:rPr>
          <w:rFonts w:ascii="Times New Roman" w:eastAsiaTheme="minorEastAsia" w:hAnsi="Times New Roman"/>
          <w:sz w:val="20"/>
          <w:szCs w:val="20"/>
        </w:rPr>
        <w: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ListParagraph"/>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[ETRI]’s proposal to capture the observation into TR 38.867, it has conducted by rapporteur in the last draft </w:t>
      </w:r>
      <w:hyperlink r:id="rId7" w:history="1">
        <w:r>
          <w:rPr>
            <w:rStyle w:val="Hyperlink"/>
            <w:rFonts w:ascii="Times New Roman" w:hAnsi="Times New Roman"/>
            <w:iCs/>
            <w:sz w:val="20"/>
            <w:szCs w:val="20"/>
          </w:rPr>
          <w:t>R1-2206017</w:t>
        </w:r>
      </w:hyperlink>
      <w:r>
        <w:rPr>
          <w:rFonts w:ascii="Times New Roman" w:hAnsi="Times New Roman"/>
          <w:iCs/>
          <w:sz w:val="20"/>
          <w:szCs w:val="20"/>
        </w:rPr>
        <w:t>.</w:t>
      </w:r>
      <w:r>
        <w:rPr>
          <w:rFonts w:ascii="Times New Roman" w:eastAsiaTheme="minorEastAsia" w:hAnsi="Times New Roman"/>
          <w:sz w:val="20"/>
          <w:szCs w:val="20"/>
        </w:rPr>
        <w:t xml:space="preserve"> </w:t>
      </w:r>
    </w:p>
    <w:p w14:paraId="5DA1F71B"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study the </w:t>
      </w:r>
      <w:r>
        <w:rPr>
          <w:rFonts w:ascii="Times New Roman" w:eastAsiaTheme="minorEastAsia" w:hAnsi="Times New Roman" w:hint="eastAsia"/>
          <w:sz w:val="20"/>
          <w:szCs w:val="20"/>
        </w:rPr>
        <w:t xml:space="preserve">power control </w:t>
      </w:r>
      <w:r>
        <w:rPr>
          <w:rFonts w:ascii="Times New Roman" w:eastAsiaTheme="minorEastAsia" w:hAnsi="Times New Roman"/>
          <w:sz w:val="20"/>
          <w:szCs w:val="20"/>
        </w:rPr>
        <w:t>mechanisms of</w:t>
      </w:r>
      <w:r>
        <w:rPr>
          <w:rFonts w:ascii="Times New Roman" w:eastAsiaTheme="minorEastAsia" w:hAnsi="Times New Roman" w:hint="eastAsia"/>
          <w:sz w:val="20"/>
          <w:szCs w:val="20"/>
        </w:rPr>
        <w:t xml:space="preserve"> NCR-MT</w:t>
      </w:r>
      <w:r>
        <w:rPr>
          <w:rFonts w:ascii="Times New Roman" w:eastAsiaTheme="minorEastAsia" w:hAnsi="Times New Roman"/>
          <w:sz w:val="20"/>
          <w:szCs w:val="20"/>
        </w:rPr>
        <w:t>’</w:t>
      </w:r>
      <w:r>
        <w:rPr>
          <w:rFonts w:ascii="Times New Roman" w:eastAsiaTheme="minorEastAsia" w:hAnsi="Times New Roman" w:hint="eastAsia"/>
          <w:sz w:val="20"/>
          <w:szCs w:val="20"/>
        </w:rPr>
        <w:t>s and remote UE</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UL signals </w:t>
      </w:r>
      <w:r>
        <w:rPr>
          <w:rFonts w:ascii="Times New Roman" w:eastAsiaTheme="minorEastAsia" w:hAnsi="Times New Roman"/>
          <w:sz w:val="20"/>
          <w:szCs w:val="20"/>
        </w:rPr>
        <w:t xml:space="preserve">in case of FDM-based transmission of UL of backhaul link and C-link, from FL’s perspective, legacy mechanism can be directly used if </w:t>
      </w:r>
      <w:r>
        <w:rPr>
          <w:rFonts w:ascii="Times New Roman" w:eastAsiaTheme="minorEastAsia" w:hAnsi="Times New Roman" w:hint="eastAsia"/>
          <w:sz w:val="20"/>
          <w:szCs w:val="20"/>
        </w:rPr>
        <w:t>different</w:t>
      </w:r>
      <w:r>
        <w:rPr>
          <w:rFonts w:ascii="Times New Roman" w:eastAsiaTheme="minorEastAsia" w:hAnsi="Times New Roman"/>
          <w:sz w:val="20"/>
          <w:szCs w:val="20"/>
        </w:rPr>
        <w:t xml:space="preserve"> RF chains are expected for C-link and F-link to enable the FDM-based transmission (e.g., as NCR’s capability). Otherwise, TDM-based is still the baseline as agreed in RAN1#109e</w:t>
      </w:r>
      <w:r>
        <w:rPr>
          <w:rFonts w:ascii="Times New Roman" w:eastAsiaTheme="minorEastAsia" w:hAnsi="Times New Roman" w:hint="eastAsia"/>
          <w:sz w:val="20"/>
          <w:szCs w:val="20"/>
        </w:rPr>
        <w:t>.</w:t>
      </w:r>
    </w:p>
    <w:p w14:paraId="5DA1F71C"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TableGrid"/>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4" w:author="Andjela Ilic-Savoia" w:date="2022-08-21T11:41:00Z">
              <w:r>
                <w:rPr>
                  <w:rFonts w:ascii="Times New Roman" w:hAnsi="Times New Roman"/>
                </w:rPr>
                <w:lastRenderedPageBreak/>
                <w:t xml:space="preserve">Pivotal </w:t>
              </w:r>
              <w:proofErr w:type="spellStart"/>
              <w:r>
                <w:rPr>
                  <w:rFonts w:ascii="Times New Roman" w:hAnsi="Times New Roman"/>
                </w:rPr>
                <w:t>Commware</w:t>
              </w:r>
            </w:ins>
            <w:proofErr w:type="spellEnd"/>
          </w:p>
        </w:tc>
        <w:tc>
          <w:tcPr>
            <w:tcW w:w="6472" w:type="dxa"/>
          </w:tcPr>
          <w:p w14:paraId="5DA1F722" w14:textId="77777777" w:rsidR="0010502F" w:rsidRPr="00587E35" w:rsidRDefault="00065D5B">
            <w:pPr>
              <w:rPr>
                <w:ins w:id="195" w:author="Andjela Ilic-Savoia" w:date="2022-08-21T11:55:00Z"/>
                <w:rFonts w:ascii="New York" w:hAnsi="New York"/>
              </w:rPr>
            </w:pPr>
            <w:ins w:id="196" w:author="Andjela Ilic-Savoia" w:date="2022-08-21T11:54:00Z">
              <w:r w:rsidRPr="00587E35">
                <w:rPr>
                  <w:rFonts w:ascii="New York" w:hAnsi="New York"/>
                </w:rPr>
                <w:t>Regarding 1</w:t>
              </w:r>
            </w:ins>
            <w:ins w:id="197" w:author="Andjela Ilic-Savoia" w:date="2022-08-21T11:55:00Z">
              <w:r w:rsidRPr="00587E35">
                <w:rPr>
                  <w:rFonts w:ascii="New York" w:hAnsi="New York"/>
                </w:rPr>
                <w:t>:</w:t>
              </w:r>
            </w:ins>
            <w:ins w:id="198" w:author="Andjela Ilic-Savoia" w:date="2022-08-21T11:54:00Z">
              <w:r w:rsidRPr="00587E35">
                <w:rPr>
                  <w:rFonts w:ascii="New York" w:hAnsi="New York"/>
                </w:rPr>
                <w:t xml:space="preserve"> NCR is transparent to UE. If signal is weak, UE will never act on or report that beam to gNB. A</w:t>
              </w:r>
            </w:ins>
            <w:ins w:id="199" w:author="Andjela Ilic-Savoia" w:date="2022-08-21T11:55:00Z">
              <w:r w:rsidRPr="00587E35">
                <w:rPr>
                  <w:rFonts w:ascii="New York" w:hAnsi="New York"/>
                </w:rPr>
                <w:t>m</w:t>
              </w:r>
            </w:ins>
            <w:ins w:id="200" w:author="Andjela Ilic-Savoia" w:date="2022-08-21T11:54:00Z">
              <w:r w:rsidRPr="00587E35">
                <w:rPr>
                  <w:rFonts w:ascii="New York" w:hAnsi="New York"/>
                </w:rPr>
                <w:t xml:space="preserve">ong beams NCR forwards, UE will pick the </w:t>
              </w:r>
            </w:ins>
            <w:ins w:id="201"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2" w:author="Andjela Ilic-Savoia" w:date="2022-08-21T11:55:00Z">
              <w:r w:rsidRPr="00587E35">
                <w:rPr>
                  <w:rFonts w:ascii="New York" w:hAnsi="New York"/>
                </w:rPr>
                <w:t xml:space="preserve">Regarding 2: This loop </w:t>
              </w:r>
            </w:ins>
            <w:ins w:id="203"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4"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bl>
    <w:p w14:paraId="5DA1F728" w14:textId="77777777" w:rsidR="0010502F" w:rsidRDefault="0010502F">
      <w:pPr>
        <w:spacing w:after="0"/>
      </w:pPr>
    </w:p>
    <w:p w14:paraId="5DA1F729"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2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cost efficient </w:t>
      </w:r>
      <w:proofErr w:type="gramStart"/>
      <w:r>
        <w:rPr>
          <w:rFonts w:hint="eastAsia"/>
        </w:rPr>
        <w:t>compare</w:t>
      </w:r>
      <w:proofErr w:type="gramEnd"/>
      <w:r>
        <w:rPr>
          <w:rFonts w:hint="eastAsia"/>
        </w:rPr>
        <w:t xml:space="preserve"> to IAB based deployment.</w:t>
      </w:r>
    </w:p>
    <w:p w14:paraId="5DA1F72D" w14:textId="77777777" w:rsidR="0010502F" w:rsidRDefault="00065D5B">
      <w:pPr>
        <w:numPr>
          <w:ilvl w:val="0"/>
          <w:numId w:val="15"/>
        </w:numPr>
        <w:ind w:rightChars="100" w:right="22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2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 xml:space="preserve">Issues-2: Multiple </w:t>
      </w:r>
      <w:proofErr w:type="gramStart"/>
      <w:r>
        <w:t>pass-band</w:t>
      </w:r>
      <w:proofErr w:type="gramEnd"/>
      <w:r>
        <w:t xml:space="preserve"> of NCR-Fwd.</w:t>
      </w:r>
    </w:p>
    <w:p w14:paraId="5DA1F730" w14:textId="77777777" w:rsidR="0010502F" w:rsidRDefault="00065D5B">
      <w:pPr>
        <w:numPr>
          <w:ilvl w:val="0"/>
          <w:numId w:val="15"/>
        </w:numPr>
        <w:ind w:rightChars="100" w:right="220"/>
      </w:pPr>
      <w:r>
        <w:t xml:space="preserve">As highlighted that </w:t>
      </w:r>
      <w:r>
        <w:rPr>
          <w:rFonts w:hint="eastAsia"/>
        </w:rPr>
        <w:t>NCR-MT only has a single carrier in R18 [Fujitsu], while NCR-Fwd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2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2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20"/>
      </w:pPr>
      <w:r w:rsidRPr="00587E35">
        <w:t xml:space="preserve">From FL’s perspective, we already concluded that for signalling design, we will focus on the in-band mode. If multiple </w:t>
      </w:r>
      <w:proofErr w:type="gramStart"/>
      <w:r w:rsidRPr="00587E35">
        <w:t>pass-bands</w:t>
      </w:r>
      <w:proofErr w:type="gramEnd"/>
      <w:r w:rsidRPr="00587E35">
        <w:t xml:space="preserve"> are </w:t>
      </w:r>
      <w:r w:rsidRPr="00587E35">
        <w:rPr>
          <w:rFonts w:hint="eastAsia"/>
        </w:rPr>
        <w:t>available</w:t>
      </w:r>
      <w:r w:rsidRPr="00587E35">
        <w:t xml:space="preserve"> at NCR-Fwd, the potential forwarding </w:t>
      </w:r>
      <w:proofErr w:type="spellStart"/>
      <w:r w:rsidRPr="00587E35">
        <w:t>behaviour</w:t>
      </w:r>
      <w:proofErr w:type="spellEnd"/>
      <w:r w:rsidRPr="00587E35">
        <w:t xml:space="preserve"> at NCR-</w:t>
      </w:r>
      <w:proofErr w:type="spellStart"/>
      <w:r w:rsidRPr="00587E35">
        <w:t>Fwd</w:t>
      </w:r>
      <w:proofErr w:type="spellEnd"/>
      <w:r w:rsidRPr="00587E35">
        <w:t xml:space="preserve">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w:t>
      </w:r>
      <w:r>
        <w:rPr>
          <w:rFonts w:hint="eastAsia"/>
        </w:rPr>
        <w:lastRenderedPageBreak/>
        <w:t xml:space="preserve">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TableGrid"/>
        <w:tblW w:w="0" w:type="auto"/>
        <w:jc w:val="center"/>
        <w:tblLook w:val="04A0" w:firstRow="1" w:lastRow="0" w:firstColumn="1" w:lastColumn="0" w:noHBand="0" w:noVBand="1"/>
      </w:tblPr>
      <w:tblGrid>
        <w:gridCol w:w="1926"/>
        <w:gridCol w:w="6472"/>
      </w:tblGrid>
      <w:tr w:rsidR="0010502F" w14:paraId="5DA1F73A" w14:textId="77777777">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6472"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trPr>
          <w:trHeight w:val="342"/>
          <w:jc w:val="center"/>
        </w:trPr>
        <w:tc>
          <w:tcPr>
            <w:tcW w:w="1926" w:type="dxa"/>
          </w:tcPr>
          <w:p w14:paraId="5DA1F73B" w14:textId="77777777" w:rsidR="0010502F" w:rsidRDefault="00065D5B">
            <w:pPr>
              <w:rPr>
                <w:rFonts w:ascii="New York" w:hAnsi="New York"/>
              </w:rPr>
            </w:pPr>
            <w:ins w:id="205" w:author="Andjela Ilic-Savoia" w:date="2022-08-21T12:03: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3C" w14:textId="77777777" w:rsidR="0010502F" w:rsidRPr="00587E35" w:rsidRDefault="00065D5B">
            <w:pPr>
              <w:rPr>
                <w:ins w:id="206" w:author="Andjela Ilic-Savoia" w:date="2022-08-21T12:06:00Z"/>
                <w:rFonts w:ascii="New York" w:hAnsi="New York"/>
              </w:rPr>
            </w:pPr>
            <w:ins w:id="207" w:author="Andjela Ilic-Savoia" w:date="2022-08-21T12:03:00Z">
              <w:r w:rsidRPr="00587E35">
                <w:rPr>
                  <w:rFonts w:ascii="New York" w:hAnsi="New York"/>
                </w:rPr>
                <w:t>Respectfully, for the fallback</w:t>
              </w:r>
            </w:ins>
            <w:ins w:id="208" w:author="Andjela Ilic-Savoia" w:date="2022-08-21T12:04:00Z">
              <w:r w:rsidRPr="00587E35">
                <w:rPr>
                  <w:rFonts w:ascii="New York" w:hAnsi="New York"/>
                </w:rPr>
                <w:t xml:space="preserve"> to Rel17 RF repeater</w:t>
              </w:r>
            </w:ins>
            <w:ins w:id="209" w:author="Andjela Ilic-Savoia" w:date="2022-08-21T12:03:00Z">
              <w:r w:rsidRPr="00587E35">
                <w:rPr>
                  <w:rFonts w:ascii="New York" w:hAnsi="New York"/>
                </w:rPr>
                <w:t xml:space="preserve">, it is not </w:t>
              </w:r>
              <w:r w:rsidRPr="00587E35">
                <w:rPr>
                  <w:rFonts w:ascii="New York" w:hAnsi="New York"/>
                  <w:u w:val="single"/>
                  <w:rPrChange w:id="210" w:author="Andjela Ilic-Savoia" w:date="2022-08-21T12:06:00Z">
                    <w:rPr/>
                  </w:rPrChange>
                </w:rPr>
                <w:t>only</w:t>
              </w:r>
              <w:r w:rsidRPr="00587E35">
                <w:rPr>
                  <w:rFonts w:ascii="New York" w:hAnsi="New York"/>
                </w:rPr>
                <w:t xml:space="preserve"> that NCR-MT is shut down. No intelligence whatsoever (in</w:t>
              </w:r>
            </w:ins>
            <w:ins w:id="211"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12" w:author="Andjela Ilic-Savoia" w:date="2022-08-21T12:07:00Z">
              <w:r w:rsidRPr="00587E35">
                <w:rPr>
                  <w:rFonts w:ascii="New York" w:hAnsi="New York"/>
                </w:rPr>
                <w:t>UL-DL schedule</w:t>
              </w:r>
            </w:ins>
            <w:ins w:id="213" w:author="Andjela Ilic-Savoia" w:date="2022-08-21T12:03:00Z">
              <w:r w:rsidRPr="00587E35">
                <w:rPr>
                  <w:rFonts w:ascii="New York" w:hAnsi="New York"/>
                </w:rPr>
                <w:t>)</w:t>
              </w:r>
            </w:ins>
            <w:ins w:id="214" w:author="Andjela Ilic-Savoia" w:date="2022-08-21T12:04:00Z">
              <w:r w:rsidRPr="00587E35">
                <w:rPr>
                  <w:rFonts w:ascii="New York" w:hAnsi="New York"/>
                </w:rPr>
                <w:t xml:space="preserve"> is assumed to be known or available to RF repeater</w:t>
              </w:r>
            </w:ins>
            <w:ins w:id="215" w:author="Andjela Ilic-Savoia" w:date="2022-08-21T12:06:00Z">
              <w:r w:rsidRPr="00587E35">
                <w:rPr>
                  <w:rFonts w:ascii="New York" w:hAnsi="New York"/>
                </w:rPr>
                <w:t xml:space="preserve"> (as per RAN4 WI)</w:t>
              </w:r>
            </w:ins>
            <w:ins w:id="216" w:author="Andjela Ilic-Savoia" w:date="2022-08-21T12:04:00Z">
              <w:r w:rsidRPr="00587E35">
                <w:rPr>
                  <w:rFonts w:ascii="New York" w:hAnsi="New York"/>
                </w:rPr>
                <w:t>. RF repeater is much simpler, as just grab-and</w:t>
              </w:r>
            </w:ins>
            <w:ins w:id="217" w:author="Andjela Ilic-Savoia" w:date="2022-08-21T12:06:00Z">
              <w:r w:rsidRPr="00587E35">
                <w:rPr>
                  <w:rFonts w:ascii="New York" w:hAnsi="New York"/>
                </w:rPr>
                <w:t>-</w:t>
              </w:r>
            </w:ins>
            <w:ins w:id="218" w:author="Andjela Ilic-Savoia" w:date="2022-08-21T12:04:00Z">
              <w:r w:rsidRPr="00587E35">
                <w:rPr>
                  <w:rFonts w:ascii="New York" w:hAnsi="New York"/>
                </w:rPr>
                <w:t>am</w:t>
              </w:r>
            </w:ins>
            <w:ins w:id="219" w:author="Andjela Ilic-Savoia" w:date="2022-08-21T12:05:00Z">
              <w:r w:rsidRPr="00587E35">
                <w:rPr>
                  <w:rFonts w:ascii="New York" w:hAnsi="New York"/>
                </w:rPr>
                <w:t xml:space="preserve">plify, and generally transmits in </w:t>
              </w:r>
            </w:ins>
            <w:ins w:id="220" w:author="Andjela Ilic-Savoia" w:date="2022-08-21T12:07:00Z">
              <w:r w:rsidRPr="00587E35">
                <w:rPr>
                  <w:rFonts w:ascii="New York" w:hAnsi="New York"/>
                </w:rPr>
                <w:t xml:space="preserve">both </w:t>
              </w:r>
            </w:ins>
            <w:ins w:id="221" w:author="Andjela Ilic-Savoia" w:date="2022-08-21T12:05:00Z">
              <w:r w:rsidRPr="00587E35">
                <w:rPr>
                  <w:rFonts w:ascii="New York" w:hAnsi="New York"/>
                </w:rPr>
                <w:t xml:space="preserve">UL and DL direction, if there is an input/signal. So, the fallback would assume large architectural and </w:t>
              </w:r>
            </w:ins>
            <w:ins w:id="222" w:author="Andjela Ilic-Savoia" w:date="2022-08-21T12:06:00Z">
              <w:r w:rsidRPr="00587E35">
                <w:rPr>
                  <w:rFonts w:ascii="New York" w:hAnsi="New York"/>
                </w:rPr>
                <w:t xml:space="preserve">HW </w:t>
              </w:r>
            </w:ins>
            <w:ins w:id="223" w:author="Andjela Ilic-Savoia" w:date="2022-08-21T12:05:00Z">
              <w:r w:rsidRPr="00587E35">
                <w:rPr>
                  <w:rFonts w:ascii="New York" w:hAnsi="New York"/>
                </w:rPr>
                <w:t>changes</w:t>
              </w:r>
            </w:ins>
            <w:ins w:id="224"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5" w:author="Andjela Ilic-Savoia" w:date="2022-08-21T12:08:00Z">
              <w:r w:rsidRPr="00587E35">
                <w:rPr>
                  <w:rFonts w:ascii="New York" w:hAnsi="New York"/>
                </w:rPr>
                <w:t>Therefore,</w:t>
              </w:r>
            </w:ins>
            <w:ins w:id="226" w:author="Andjela Ilic-Savoia" w:date="2022-08-21T12:06:00Z">
              <w:r w:rsidRPr="00587E35">
                <w:rPr>
                  <w:rFonts w:ascii="New York" w:hAnsi="New York"/>
                </w:rPr>
                <w:t xml:space="preserve"> we oppose </w:t>
              </w:r>
            </w:ins>
            <w:ins w:id="227" w:author="Andjela Ilic-Savoia" w:date="2022-08-21T12:07:00Z">
              <w:r w:rsidRPr="00587E35">
                <w:rPr>
                  <w:rFonts w:ascii="New York" w:hAnsi="New York"/>
                </w:rPr>
                <w:t>the fallback mandate.</w:t>
              </w:r>
            </w:ins>
          </w:p>
        </w:tc>
      </w:tr>
      <w:tr w:rsidR="0010502F" w:rsidRPr="00587E35" w14:paraId="5DA1F741" w14:textId="77777777">
        <w:trPr>
          <w:trHeight w:val="335"/>
          <w:jc w:val="center"/>
        </w:trPr>
        <w:tc>
          <w:tcPr>
            <w:tcW w:w="1926" w:type="dxa"/>
          </w:tcPr>
          <w:p w14:paraId="5DA1F73F" w14:textId="77777777" w:rsidR="0010502F" w:rsidRPr="00587E35" w:rsidRDefault="0010502F">
            <w:pPr>
              <w:rPr>
                <w:rFonts w:ascii="New York" w:hAnsi="New York"/>
              </w:rPr>
            </w:pPr>
          </w:p>
        </w:tc>
        <w:tc>
          <w:tcPr>
            <w:tcW w:w="6472" w:type="dxa"/>
          </w:tcPr>
          <w:p w14:paraId="5DA1F740" w14:textId="77777777" w:rsidR="0010502F" w:rsidRPr="00587E35" w:rsidRDefault="0010502F">
            <w:pPr>
              <w:rPr>
                <w:rFonts w:ascii="New York" w:hAnsi="New York"/>
              </w:rPr>
            </w:pPr>
          </w:p>
        </w:tc>
      </w:tr>
    </w:tbl>
    <w:p w14:paraId="5DA1F742"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5DA1F743"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5DA1F744" w14:textId="77777777" w:rsidR="0010502F" w:rsidRDefault="0010502F">
      <w:pPr>
        <w:rPr>
          <w:lang w:eastAsia="ja-JP"/>
        </w:rPr>
      </w:pPr>
    </w:p>
    <w:p w14:paraId="5DA1F745" w14:textId="77777777" w:rsidR="0010502F" w:rsidRDefault="00065D5B">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5DA1F746" w14:textId="77777777" w:rsidR="0010502F" w:rsidRPr="00587E35" w:rsidRDefault="00065D5B">
      <w:pPr>
        <w:snapToGrid w:val="0"/>
        <w:spacing w:after="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spacing w:after="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spacing w:after="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spacing w:after="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spacing w:after="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spacing w:after="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spacing w:after="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spacing w:after="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spacing w:after="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spacing w:after="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spacing w:after="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spacing w:after="0"/>
      </w:pPr>
      <w:r w:rsidRPr="00587E35">
        <w:rPr>
          <w:rFonts w:hint="eastAsia"/>
        </w:rPr>
        <w:lastRenderedPageBreak/>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spacing w:after="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spacing w:after="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spacing w:after="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spacing w:after="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spacing w:after="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spacing w:after="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spacing w:after="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spacing w:after="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spacing w:after="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spacing w:after="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spacing w:after="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spacing w:after="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spacing w:after="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spacing w:after="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spacing w:after="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spacing w:after="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spacing w:after="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spacing w:after="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spacing w:after="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spacing w:after="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EECF" w14:textId="77777777" w:rsidR="002551C4" w:rsidRDefault="002551C4">
      <w:pPr>
        <w:spacing w:after="0" w:line="240" w:lineRule="auto"/>
      </w:pPr>
      <w:r>
        <w:separator/>
      </w:r>
    </w:p>
  </w:endnote>
  <w:endnote w:type="continuationSeparator" w:id="0">
    <w:p w14:paraId="39E122C9" w14:textId="77777777" w:rsidR="002551C4" w:rsidRDefault="0025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10502F" w:rsidRDefault="00065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1F76B" w14:textId="77777777" w:rsidR="0010502F" w:rsidRDefault="0010502F">
    <w:pPr>
      <w:pStyle w:val="Footer"/>
      <w:ind w:right="360"/>
    </w:pPr>
  </w:p>
  <w:p w14:paraId="5DA1F76C" w14:textId="77777777" w:rsidR="0010502F" w:rsidRDefault="001050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77777777" w:rsidR="0010502F" w:rsidRDefault="00065D5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p>
  <w:p w14:paraId="5DA1F76E" w14:textId="77777777" w:rsidR="0010502F" w:rsidRDefault="00105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FB3A" w14:textId="77777777" w:rsidR="002551C4" w:rsidRDefault="002551C4">
      <w:pPr>
        <w:spacing w:after="0"/>
      </w:pPr>
      <w:r>
        <w:separator/>
      </w:r>
    </w:p>
  </w:footnote>
  <w:footnote w:type="continuationSeparator" w:id="0">
    <w:p w14:paraId="1F4893FA" w14:textId="77777777" w:rsidR="002551C4" w:rsidRDefault="002551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10502F" w:rsidRDefault="00065D5B">
    <w:r>
      <w:t xml:space="preserve">Page </w:t>
    </w:r>
    <w:r>
      <w:fldChar w:fldCharType="begin"/>
    </w:r>
    <w:r>
      <w:instrText>PAGE</w:instrText>
    </w:r>
    <w:r>
      <w:fldChar w:fldCharType="separate"/>
    </w:r>
    <w:r>
      <w:t>1</w:t>
    </w:r>
    <w:r>
      <w:fldChar w:fldCharType="end"/>
    </w:r>
  </w:p>
  <w:p w14:paraId="5DA1F769" w14:textId="77777777" w:rsidR="0010502F" w:rsidRDefault="00105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044145">
    <w:abstractNumId w:val="12"/>
  </w:num>
  <w:num w:numId="2" w16cid:durableId="693655326">
    <w:abstractNumId w:val="32"/>
  </w:num>
  <w:num w:numId="3" w16cid:durableId="1889684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081439">
    <w:abstractNumId w:val="2"/>
  </w:num>
  <w:num w:numId="5" w16cid:durableId="1857844598">
    <w:abstractNumId w:val="27"/>
  </w:num>
  <w:num w:numId="6" w16cid:durableId="108547439">
    <w:abstractNumId w:val="3"/>
  </w:num>
  <w:num w:numId="7" w16cid:durableId="937327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8213514">
    <w:abstractNumId w:val="24"/>
  </w:num>
  <w:num w:numId="9" w16cid:durableId="43650344">
    <w:abstractNumId w:val="28"/>
  </w:num>
  <w:num w:numId="10" w16cid:durableId="1579368752">
    <w:abstractNumId w:val="10"/>
  </w:num>
  <w:num w:numId="11" w16cid:durableId="1508860050">
    <w:abstractNumId w:val="29"/>
  </w:num>
  <w:num w:numId="12" w16cid:durableId="478352121">
    <w:abstractNumId w:val="21"/>
  </w:num>
  <w:num w:numId="13" w16cid:durableId="69083357">
    <w:abstractNumId w:val="1"/>
  </w:num>
  <w:num w:numId="14" w16cid:durableId="1967077311">
    <w:abstractNumId w:val="11"/>
  </w:num>
  <w:num w:numId="15" w16cid:durableId="261106049">
    <w:abstractNumId w:val="13"/>
  </w:num>
  <w:num w:numId="16" w16cid:durableId="1882477421">
    <w:abstractNumId w:val="22"/>
  </w:num>
  <w:num w:numId="17" w16cid:durableId="878932552">
    <w:abstractNumId w:val="8"/>
  </w:num>
  <w:num w:numId="18" w16cid:durableId="305010338">
    <w:abstractNumId w:val="15"/>
  </w:num>
  <w:num w:numId="19" w16cid:durableId="1096515136">
    <w:abstractNumId w:val="17"/>
  </w:num>
  <w:num w:numId="20" w16cid:durableId="1496334909">
    <w:abstractNumId w:val="4"/>
  </w:num>
  <w:num w:numId="21" w16cid:durableId="138377762">
    <w:abstractNumId w:val="26"/>
  </w:num>
  <w:num w:numId="22" w16cid:durableId="1523670906">
    <w:abstractNumId w:val="16"/>
  </w:num>
  <w:num w:numId="23" w16cid:durableId="197396277">
    <w:abstractNumId w:val="6"/>
  </w:num>
  <w:num w:numId="24" w16cid:durableId="913316787">
    <w:abstractNumId w:val="19"/>
  </w:num>
  <w:num w:numId="25" w16cid:durableId="2003969378">
    <w:abstractNumId w:val="9"/>
  </w:num>
  <w:num w:numId="26" w16cid:durableId="1345590292">
    <w:abstractNumId w:val="30"/>
  </w:num>
  <w:num w:numId="27" w16cid:durableId="771776622">
    <w:abstractNumId w:val="14"/>
  </w:num>
  <w:num w:numId="28" w16cid:durableId="750157092">
    <w:abstractNumId w:val="25"/>
  </w:num>
  <w:num w:numId="29" w16cid:durableId="666127949">
    <w:abstractNumId w:val="23"/>
  </w:num>
  <w:num w:numId="30" w16cid:durableId="1835994500">
    <w:abstractNumId w:val="5"/>
  </w:num>
  <w:num w:numId="31" w16cid:durableId="539827806">
    <w:abstractNumId w:val="7"/>
  </w:num>
  <w:num w:numId="32" w16cid:durableId="298803459">
    <w:abstractNumId w:val="31"/>
  </w:num>
  <w:num w:numId="33" w16cid:durableId="13371543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52D"/>
    <w:pPr>
      <w:spacing w:after="160" w:line="259" w:lineRule="auto"/>
    </w:pPr>
    <w:rPr>
      <w:rFonts w:asciiTheme="minorHAnsi" w:eastAsiaTheme="minorEastAsia" w:hAnsiTheme="minorHAnsi" w:cstheme="minorBidi"/>
      <w:sz w:val="22"/>
      <w:szCs w:val="22"/>
      <w:lang w:val="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6505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052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jc w:val="center"/>
    </w:pPr>
    <w:rPr>
      <w:i/>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val="en-US"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PageNumber">
    <w:name w:val="page number"/>
    <w:basedOn w:val="DefaultParagraphFont"/>
    <w:qFormat/>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ind w:left="1701" w:hanging="1701"/>
      <w:jc w:val="left"/>
    </w:pPr>
    <w:rPr>
      <w:rFonts w:ascii="Arial" w:hAnsi="Arial"/>
      <w:b/>
      <w:kern w:val="2"/>
      <w:sz w:val="21"/>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r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after="0"/>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spacing w:after="0"/>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spacing w:after="0" w:line="173" w:lineRule="atLeast"/>
    </w:pPr>
    <w:rPr>
      <w:rFonts w:ascii="Swift" w:hAnsi="Swift"/>
      <w:sz w:val="24"/>
      <w:szCs w:val="24"/>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spacing w:after="0"/>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jc w:val="left"/>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jc w:val="left"/>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jc w:val="left"/>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spacing w:after="0"/>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spacing w:after="0"/>
      <w:ind w:leftChars="400" w:left="840"/>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spacing w:after="0"/>
      <w:jc w:val="both"/>
    </w:pPr>
    <w:rPr>
      <w:rFonts w:ascii="Arial" w:hAnsi="Arial"/>
      <w:b/>
      <w:kern w:val="2"/>
      <w:sz w:val="21"/>
    </w:rPr>
  </w:style>
  <w:style w:type="paragraph" w:customStyle="1" w:styleId="Proposal">
    <w:name w:val="Proposal"/>
    <w:basedOn w:val="BodyText"/>
    <w:qFormat/>
    <w:pPr>
      <w:widowControl w:val="0"/>
      <w:numPr>
        <w:numId w:val="7"/>
      </w:numPr>
      <w:tabs>
        <w:tab w:val="clear" w:pos="1304"/>
        <w:tab w:val="left" w:pos="1701"/>
      </w:tabs>
      <w:spacing w:after="0"/>
      <w:ind w:left="1701" w:hanging="1701"/>
    </w:pPr>
    <w:rPr>
      <w:rFonts w:ascii="Calibri" w:hAnsi="Calibri"/>
      <w:b/>
      <w:bCs/>
      <w:kern w:val="2"/>
      <w:sz w:val="21"/>
      <w:szCs w:val="22"/>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jc w:val="both"/>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1">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宋体"/>
      <w:sz w:val="16"/>
      <w:lang w:val="en-GB" w:eastAsia="en-US"/>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character" w:customStyle="1" w:styleId="B2Char">
    <w:name w:val="B2 Char"/>
    <w:basedOn w:val="DefaultParagraphFont"/>
    <w:link w:val="B2"/>
    <w:qFormat/>
    <w:locked/>
    <w:rPr>
      <w:rFonts w:eastAsia="宋体"/>
      <w:lang w:val="en-GB" w:eastAsia="en-US"/>
    </w:rPr>
  </w:style>
  <w:style w:type="paragraph" w:customStyle="1" w:styleId="2">
    <w:name w:val="正文2"/>
    <w:qFormat/>
    <w:pPr>
      <w:spacing w:before="100" w:beforeAutospacing="1" w:after="180"/>
    </w:pPr>
    <w:rPr>
      <w:rFonts w:eastAsia="宋体"/>
      <w:sz w:val="24"/>
      <w:szCs w:val="24"/>
      <w:lang w:val="en-US"/>
    </w:rPr>
  </w:style>
  <w:style w:type="paragraph" w:customStyle="1" w:styleId="41">
    <w:name w:val="标题 41"/>
    <w:basedOn w:val="Normal"/>
    <w:next w:val="2"/>
    <w:qFormat/>
    <w:pPr>
      <w:keepNext/>
      <w:keepLines/>
      <w:widowControl w:val="0"/>
      <w:spacing w:before="120"/>
      <w:ind w:left="1418" w:hanging="1418"/>
      <w:outlineLvl w:val="3"/>
    </w:pPr>
    <w:rPr>
      <w:rFonts w:ascii="Arial" w:eastAsia="Times New Roman" w:hAnsi="Arial"/>
      <w:sz w:val="24"/>
      <w:szCs w:val="24"/>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spacing w:after="360" w:line="360" w:lineRule="exact"/>
    </w:pPr>
    <w:rPr>
      <w:rFonts w:eastAsia="Times New Roman"/>
      <w:bCs/>
      <w:sz w:val="24"/>
    </w:rPr>
  </w:style>
  <w:style w:type="paragraph" w:styleId="NoSpacing">
    <w:name w:val="No Spacing"/>
    <w:basedOn w:val="Normal"/>
    <w:link w:val="NoSpacingChar"/>
    <w:uiPriority w:val="1"/>
    <w:qFormat/>
    <w:pPr>
      <w:spacing w:before="120" w:after="120"/>
      <w:jc w:val="both"/>
    </w:pPr>
    <w:rPr>
      <w:rFonts w:ascii="Arial" w:eastAsia="나눔바른고딕" w:hAnsi="Arial"/>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spacing w:before="100" w:beforeAutospacing="1" w:after="100" w:afterAutospacing="1"/>
      <w:jc w:val="both"/>
    </w:pPr>
    <w:rPr>
      <w:rFonts w:eastAsia="Times New Roman"/>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jc w:val="both"/>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6017.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8715</Words>
  <Characters>49681</Characters>
  <Application>Microsoft Office Word</Application>
  <DocSecurity>0</DocSecurity>
  <Lines>414</Lines>
  <Paragraphs>116</Paragraphs>
  <ScaleCrop>false</ScaleCrop>
  <Company>ZTE</Company>
  <LinksUpToDate>false</LinksUpToDate>
  <CharactersWithSpaces>58280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Shupeng Li</cp:lastModifiedBy>
  <cp:revision>2</cp:revision>
  <cp:lastPrinted>2011-11-09T01:49:00Z</cp:lastPrinted>
  <dcterms:created xsi:type="dcterms:W3CDTF">2022-08-21T23:41:00Z</dcterms:created>
  <dcterms:modified xsi:type="dcterms:W3CDTF">2022-08-21T23:41:00Z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