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tc>
          <w:tcPr>
            <w:tcW w:w="1271"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tc>
          <w:tcPr>
            <w:tcW w:w="1271"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63"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tc>
          <w:tcPr>
            <w:tcW w:w="1271"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tc>
          <w:tcPr>
            <w:tcW w:w="1271"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tc>
          <w:tcPr>
            <w:tcW w:w="1271"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tc>
          <w:tcPr>
            <w:tcW w:w="1271"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187C98">
        <w:tc>
          <w:tcPr>
            <w:tcW w:w="1271"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63"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BE4043">
        <w:tc>
          <w:tcPr>
            <w:tcW w:w="1271"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BE4043">
        <w:tc>
          <w:tcPr>
            <w:tcW w:w="1271"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BE4043">
        <w:tc>
          <w:tcPr>
            <w:tcW w:w="1271" w:type="dxa"/>
          </w:tcPr>
          <w:p w14:paraId="5E4B17DF" w14:textId="6BB11A00" w:rsidR="001B34E8" w:rsidRDefault="001B34E8" w:rsidP="001B34E8">
            <w:pPr>
              <w:spacing w:after="0"/>
              <w:jc w:val="center"/>
              <w:rPr>
                <w:rFonts w:eastAsiaTheme="minorEastAsia" w:hint="eastAsia"/>
              </w:rPr>
            </w:pPr>
            <w:r>
              <w:rPr>
                <w:rFonts w:eastAsiaTheme="minorEastAsia"/>
              </w:rPr>
              <w:t>NOKIA/NSB</w:t>
            </w:r>
          </w:p>
        </w:tc>
        <w:tc>
          <w:tcPr>
            <w:tcW w:w="8363"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the BS reception could still be maintained for micro-sleep state with symbol level BS DTX. But for deep sleep and standby sleep states, the BS does not perform neither DL nor UL.</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tc>
          <w:tcPr>
            <w:tcW w:w="1271"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tc>
          <w:tcPr>
            <w:tcW w:w="1271"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tc>
          <w:tcPr>
            <w:tcW w:w="1271"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 xml:space="preserve">DLE state is not clear. Only SSB is also IDLE state? We do not need to introduce the extra </w:t>
            </w:r>
            <w:r>
              <w:rPr>
                <w:rFonts w:eastAsiaTheme="minorEastAsia"/>
              </w:rPr>
              <w:lastRenderedPageBreak/>
              <w:t>terminologies. If there is a signal channel, it is non-sleep state, which is similar to UE power model.</w:t>
            </w:r>
          </w:p>
        </w:tc>
      </w:tr>
      <w:tr w:rsidR="003E2F09" w14:paraId="358DD58F" w14:textId="77777777">
        <w:tc>
          <w:tcPr>
            <w:tcW w:w="1271" w:type="dxa"/>
          </w:tcPr>
          <w:p w14:paraId="6E141B56" w14:textId="77777777" w:rsidR="003E2F09" w:rsidRDefault="00063932">
            <w:pPr>
              <w:spacing w:after="0"/>
              <w:jc w:val="center"/>
              <w:rPr>
                <w:rFonts w:eastAsia="Malgun Gothic"/>
                <w:lang w:eastAsia="ko-KR"/>
              </w:rPr>
            </w:pPr>
            <w:r>
              <w:rPr>
                <w:rFonts w:eastAsiaTheme="minorEastAsia"/>
              </w:rPr>
              <w:lastRenderedPageBreak/>
              <w:t>Qualcomm1</w:t>
            </w:r>
          </w:p>
        </w:tc>
        <w:tc>
          <w:tcPr>
            <w:tcW w:w="8363"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tc>
          <w:tcPr>
            <w:tcW w:w="1271"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tc>
          <w:tcPr>
            <w:tcW w:w="1271"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tc>
          <w:tcPr>
            <w:tcW w:w="1271"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63"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tc>
          <w:tcPr>
            <w:tcW w:w="1271"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187C98">
        <w:tc>
          <w:tcPr>
            <w:tcW w:w="1271"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BE4043">
        <w:tc>
          <w:tcPr>
            <w:tcW w:w="1271"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BE4043">
        <w:tc>
          <w:tcPr>
            <w:tcW w:w="1271"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BE4043">
        <w:tc>
          <w:tcPr>
            <w:tcW w:w="1271" w:type="dxa"/>
          </w:tcPr>
          <w:p w14:paraId="7CD58C8E" w14:textId="5E987CC0" w:rsidR="00747C44" w:rsidRDefault="00747C44" w:rsidP="00747C44">
            <w:pPr>
              <w:spacing w:after="0"/>
              <w:jc w:val="center"/>
              <w:rPr>
                <w:rFonts w:eastAsiaTheme="minorEastAsia" w:hint="eastAsia"/>
              </w:rPr>
            </w:pPr>
            <w:r>
              <w:rPr>
                <w:rFonts w:eastAsiaTheme="minorEastAsia"/>
              </w:rPr>
              <w:t>NOKIA/NSB</w:t>
            </w:r>
          </w:p>
        </w:tc>
        <w:tc>
          <w:tcPr>
            <w:tcW w:w="8363"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lastRenderedPageBreak/>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tc>
          <w:tcPr>
            <w:tcW w:w="1271"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tc>
          <w:tcPr>
            <w:tcW w:w="1271"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tc>
          <w:tcPr>
            <w:tcW w:w="1271"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63"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tc>
          <w:tcPr>
            <w:tcW w:w="1271"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tc>
          <w:tcPr>
            <w:tcW w:w="1271"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tc>
          <w:tcPr>
            <w:tcW w:w="1271"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tc>
          <w:tcPr>
            <w:tcW w:w="1271"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tc>
          <w:tcPr>
            <w:tcW w:w="1271"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187C98">
        <w:tc>
          <w:tcPr>
            <w:tcW w:w="1271"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BE4043">
        <w:tc>
          <w:tcPr>
            <w:tcW w:w="1271"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BE4043">
        <w:tc>
          <w:tcPr>
            <w:tcW w:w="1271"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BE4043">
        <w:tc>
          <w:tcPr>
            <w:tcW w:w="1271" w:type="dxa"/>
          </w:tcPr>
          <w:p w14:paraId="76DF3867" w14:textId="1B475F99" w:rsidR="00D51B24" w:rsidRDefault="00D51B24" w:rsidP="00D51B24">
            <w:pPr>
              <w:spacing w:after="0"/>
              <w:jc w:val="center"/>
              <w:rPr>
                <w:rFonts w:eastAsiaTheme="minorEastAsia" w:hint="eastAsia"/>
              </w:rPr>
            </w:pPr>
            <w:r>
              <w:rPr>
                <w:rFonts w:eastAsiaTheme="minorEastAsia"/>
              </w:rPr>
              <w:t>NOKIA/NSB</w:t>
            </w:r>
          </w:p>
        </w:tc>
        <w:tc>
          <w:tcPr>
            <w:tcW w:w="8363"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lastRenderedPageBreak/>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tc>
          <w:tcPr>
            <w:tcW w:w="1271"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tc>
          <w:tcPr>
            <w:tcW w:w="1271"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tc>
          <w:tcPr>
            <w:tcW w:w="1271"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tc>
          <w:tcPr>
            <w:tcW w:w="1271"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tc>
          <w:tcPr>
            <w:tcW w:w="1271"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tc>
          <w:tcPr>
            <w:tcW w:w="1271"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tc>
          <w:tcPr>
            <w:tcW w:w="1271"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tc>
          <w:tcPr>
            <w:tcW w:w="1271"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187C98">
        <w:tc>
          <w:tcPr>
            <w:tcW w:w="1271"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BE4043">
        <w:tc>
          <w:tcPr>
            <w:tcW w:w="1271"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BE4043">
        <w:tc>
          <w:tcPr>
            <w:tcW w:w="1271"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63"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BE4043">
        <w:tc>
          <w:tcPr>
            <w:tcW w:w="1271" w:type="dxa"/>
          </w:tcPr>
          <w:p w14:paraId="2092B31E" w14:textId="60AF8B3A" w:rsidR="00CC760F" w:rsidRDefault="00CC760F" w:rsidP="00CC760F">
            <w:pPr>
              <w:spacing w:after="0"/>
              <w:jc w:val="center"/>
              <w:rPr>
                <w:rFonts w:eastAsiaTheme="minorEastAsia" w:hint="eastAsia"/>
              </w:rPr>
            </w:pPr>
            <w:r>
              <w:rPr>
                <w:rFonts w:eastAsiaTheme="minorEastAsia"/>
              </w:rPr>
              <w:t>NOKIA/NSB</w:t>
            </w:r>
          </w:p>
        </w:tc>
        <w:tc>
          <w:tcPr>
            <w:tcW w:w="8363" w:type="dxa"/>
          </w:tcPr>
          <w:p w14:paraId="36EE4537" w14:textId="497D1380" w:rsidR="00CC760F" w:rsidRDefault="00CC760F" w:rsidP="00CC760F">
            <w:pPr>
              <w:spacing w:after="0"/>
              <w:jc w:val="left"/>
              <w:rPr>
                <w:rFonts w:eastAsiaTheme="minorEastAsia" w:hint="eastAsia"/>
              </w:rPr>
            </w:pPr>
            <w:r>
              <w:rPr>
                <w:rFonts w:eastAsiaTheme="minorEastAsia"/>
              </w:rPr>
              <w:t>Not needed</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lastRenderedPageBreak/>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tc>
          <w:tcPr>
            <w:tcW w:w="1271"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tc>
          <w:tcPr>
            <w:tcW w:w="1271"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tc>
          <w:tcPr>
            <w:tcW w:w="1271"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tc>
          <w:tcPr>
            <w:tcW w:w="1271"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tc>
          <w:tcPr>
            <w:tcW w:w="1271"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63"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tc>
          <w:tcPr>
            <w:tcW w:w="1271"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187C98">
        <w:tc>
          <w:tcPr>
            <w:tcW w:w="1271" w:type="dxa"/>
          </w:tcPr>
          <w:p w14:paraId="03959C4B"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BE4043">
        <w:tc>
          <w:tcPr>
            <w:tcW w:w="1271"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BE4043">
        <w:tc>
          <w:tcPr>
            <w:tcW w:w="1271" w:type="dxa"/>
          </w:tcPr>
          <w:p w14:paraId="2FA5D920" w14:textId="79165A40" w:rsidR="000F6863" w:rsidRDefault="000F6863" w:rsidP="000F6863">
            <w:pPr>
              <w:spacing w:after="0"/>
              <w:jc w:val="center"/>
              <w:rPr>
                <w:rFonts w:eastAsiaTheme="minorEastAsia" w:hint="eastAsia"/>
              </w:rPr>
            </w:pPr>
            <w:r>
              <w:rPr>
                <w:rFonts w:eastAsiaTheme="minorEastAsia"/>
              </w:rPr>
              <w:lastRenderedPageBreak/>
              <w:t>NOKIA/NSB</w:t>
            </w:r>
          </w:p>
        </w:tc>
        <w:tc>
          <w:tcPr>
            <w:tcW w:w="8363"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tc>
          <w:tcPr>
            <w:tcW w:w="1271"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tc>
          <w:tcPr>
            <w:tcW w:w="1271"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tc>
          <w:tcPr>
            <w:tcW w:w="1271"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tc>
          <w:tcPr>
            <w:tcW w:w="1271"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tc>
          <w:tcPr>
            <w:tcW w:w="1271"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tc>
          <w:tcPr>
            <w:tcW w:w="1271"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tc>
          <w:tcPr>
            <w:tcW w:w="1271"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tc>
          <w:tcPr>
            <w:tcW w:w="1271"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187C98">
        <w:tc>
          <w:tcPr>
            <w:tcW w:w="1271"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BE4043">
        <w:tc>
          <w:tcPr>
            <w:tcW w:w="1271"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BE4043">
        <w:tc>
          <w:tcPr>
            <w:tcW w:w="1271" w:type="dxa"/>
          </w:tcPr>
          <w:p w14:paraId="5ABFFAF0" w14:textId="7E17D9E5" w:rsidR="00495157" w:rsidRDefault="00495157" w:rsidP="006C0C59">
            <w:pPr>
              <w:spacing w:after="0"/>
              <w:jc w:val="center"/>
              <w:rPr>
                <w:rFonts w:eastAsiaTheme="minorEastAsia"/>
              </w:rPr>
            </w:pPr>
            <w:r>
              <w:rPr>
                <w:rFonts w:eastAsiaTheme="minorEastAsia" w:hint="eastAsia"/>
              </w:rPr>
              <w:lastRenderedPageBreak/>
              <w:t>O</w:t>
            </w:r>
            <w:r>
              <w:rPr>
                <w:rFonts w:eastAsiaTheme="minorEastAsia"/>
              </w:rPr>
              <w:t>PPO</w:t>
            </w:r>
          </w:p>
        </w:tc>
        <w:tc>
          <w:tcPr>
            <w:tcW w:w="8363"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BE4043">
        <w:tc>
          <w:tcPr>
            <w:tcW w:w="1271" w:type="dxa"/>
          </w:tcPr>
          <w:p w14:paraId="03C1EDCA" w14:textId="66BDA35A" w:rsidR="00774FE4" w:rsidRDefault="00774FE4" w:rsidP="00774FE4">
            <w:pPr>
              <w:spacing w:after="0"/>
              <w:jc w:val="center"/>
              <w:rPr>
                <w:rFonts w:eastAsiaTheme="minorEastAsia" w:hint="eastAsia"/>
              </w:rPr>
            </w:pPr>
            <w:r>
              <w:rPr>
                <w:rFonts w:eastAsiaTheme="minorEastAsia"/>
              </w:rPr>
              <w:t>NOKIA/NSB</w:t>
            </w:r>
          </w:p>
        </w:tc>
        <w:tc>
          <w:tcPr>
            <w:tcW w:w="8363"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tc>
          <w:tcPr>
            <w:tcW w:w="1271"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tc>
          <w:tcPr>
            <w:tcW w:w="1271"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tc>
          <w:tcPr>
            <w:tcW w:w="1271" w:type="dxa"/>
          </w:tcPr>
          <w:p w14:paraId="4F86098B" w14:textId="77777777" w:rsidR="003E2F09" w:rsidRDefault="00063932">
            <w:pPr>
              <w:spacing w:after="0"/>
              <w:jc w:val="center"/>
              <w:rPr>
                <w:rFonts w:eastAsiaTheme="minorEastAsia"/>
              </w:rPr>
            </w:pPr>
            <w:r>
              <w:rPr>
                <w:rFonts w:eastAsiaTheme="minorEastAsia"/>
              </w:rPr>
              <w:t>Qualcomm1</w:t>
            </w:r>
          </w:p>
        </w:tc>
        <w:tc>
          <w:tcPr>
            <w:tcW w:w="8363"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tc>
          <w:tcPr>
            <w:tcW w:w="1271"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tc>
          <w:tcPr>
            <w:tcW w:w="1271"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63"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tc>
          <w:tcPr>
            <w:tcW w:w="1271" w:type="dxa"/>
          </w:tcPr>
          <w:p w14:paraId="394321AE" w14:textId="1C06092D" w:rsidR="00F7660F" w:rsidRDefault="00F7660F" w:rsidP="00F7660F">
            <w:pPr>
              <w:spacing w:after="0"/>
              <w:jc w:val="center"/>
              <w:rPr>
                <w:rFonts w:eastAsiaTheme="minorEastAsia" w:hint="eastAsia"/>
              </w:rPr>
            </w:pPr>
            <w:r>
              <w:rPr>
                <w:rFonts w:eastAsiaTheme="minorEastAsia"/>
              </w:rPr>
              <w:t>NOKIA/NSB</w:t>
            </w:r>
          </w:p>
        </w:tc>
        <w:tc>
          <w:tcPr>
            <w:tcW w:w="8363"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tc>
          <w:tcPr>
            <w:tcW w:w="1271"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tc>
          <w:tcPr>
            <w:tcW w:w="1271"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tc>
          <w:tcPr>
            <w:tcW w:w="1271"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tc>
          <w:tcPr>
            <w:tcW w:w="1271"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tc>
          <w:tcPr>
            <w:tcW w:w="1271"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tc>
          <w:tcPr>
            <w:tcW w:w="1271"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tc>
          <w:tcPr>
            <w:tcW w:w="1271" w:type="dxa"/>
          </w:tcPr>
          <w:p w14:paraId="2DEDE9C5"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187C98">
        <w:tc>
          <w:tcPr>
            <w:tcW w:w="1271"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BE4043">
        <w:tc>
          <w:tcPr>
            <w:tcW w:w="1271"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BE4043">
        <w:tc>
          <w:tcPr>
            <w:tcW w:w="1271"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BE4043">
        <w:tc>
          <w:tcPr>
            <w:tcW w:w="1271" w:type="dxa"/>
          </w:tcPr>
          <w:p w14:paraId="031D9029" w14:textId="4046DE7E" w:rsidR="008B46BD" w:rsidRDefault="008B46BD" w:rsidP="008B46BD">
            <w:pPr>
              <w:spacing w:after="0"/>
              <w:jc w:val="center"/>
              <w:rPr>
                <w:rFonts w:eastAsiaTheme="minorEastAsia" w:hint="eastAsia"/>
              </w:rPr>
            </w:pPr>
            <w:r>
              <w:rPr>
                <w:rFonts w:eastAsiaTheme="minorEastAsia"/>
              </w:rPr>
              <w:t>NOKIA/NSB</w:t>
            </w:r>
          </w:p>
        </w:tc>
        <w:tc>
          <w:tcPr>
            <w:tcW w:w="8363"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DL power as in the reference configuration. </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tc>
          <w:tcPr>
            <w:tcW w:w="1271"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tc>
          <w:tcPr>
            <w:tcW w:w="1271"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tc>
          <w:tcPr>
            <w:tcW w:w="1271"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tc>
          <w:tcPr>
            <w:tcW w:w="1271"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tc>
          <w:tcPr>
            <w:tcW w:w="1271"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tc>
          <w:tcPr>
            <w:tcW w:w="1271"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tc>
          <w:tcPr>
            <w:tcW w:w="1271"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187C98">
        <w:tc>
          <w:tcPr>
            <w:tcW w:w="1271"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BE4043">
        <w:tc>
          <w:tcPr>
            <w:tcW w:w="1271"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BE4043">
        <w:tc>
          <w:tcPr>
            <w:tcW w:w="1271"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BE4043">
        <w:tc>
          <w:tcPr>
            <w:tcW w:w="1271" w:type="dxa"/>
          </w:tcPr>
          <w:p w14:paraId="673060E5" w14:textId="1B7C19A8" w:rsidR="00D06BD3" w:rsidRDefault="00D06BD3" w:rsidP="00D06BD3">
            <w:pPr>
              <w:spacing w:after="0"/>
              <w:jc w:val="center"/>
              <w:rPr>
                <w:rFonts w:eastAsiaTheme="minorEastAsia" w:hint="eastAsia"/>
              </w:rPr>
            </w:pPr>
            <w:r>
              <w:rPr>
                <w:rFonts w:eastAsiaTheme="minorEastAsia"/>
              </w:rPr>
              <w:t>NOKIA/NSB</w:t>
            </w:r>
          </w:p>
        </w:tc>
        <w:tc>
          <w:tcPr>
            <w:tcW w:w="8363" w:type="dxa"/>
          </w:tcPr>
          <w:p w14:paraId="460228ED" w14:textId="02F11162" w:rsidR="00D06BD3" w:rsidRDefault="00D06BD3" w:rsidP="00D06BD3">
            <w:pPr>
              <w:spacing w:after="0"/>
              <w:jc w:val="left"/>
              <w:rPr>
                <w:rFonts w:eastAsiaTheme="minorEastAsia"/>
              </w:rPr>
            </w:pPr>
            <w:r>
              <w:rPr>
                <w:rFonts w:eastAsiaTheme="minorEastAsia"/>
              </w:rPr>
              <w:t>We agree.</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lastRenderedPageBreak/>
              <w:t>BWP</w:t>
            </w:r>
            <w:r>
              <w:rPr>
                <w:color w:val="000000" w:themeColor="text1"/>
              </w:rPr>
              <w:t xml:space="preserve"> in DL</w:t>
            </w:r>
          </w:p>
        </w:tc>
        <w:tc>
          <w:tcPr>
            <w:tcW w:w="7514" w:type="dxa"/>
          </w:tcPr>
          <w:p w14:paraId="08CC2858"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BodyText"/>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lastRenderedPageBreak/>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BodyText"/>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BodyText"/>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tc>
          <w:tcPr>
            <w:tcW w:w="1271"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tc>
          <w:tcPr>
            <w:tcW w:w="1271"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19690613" w14:textId="77777777" w:rsidR="003E2F09" w:rsidRDefault="00063932">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w:t>
            </w:r>
            <w:r>
              <w:rPr>
                <w:rFonts w:eastAsiaTheme="minorEastAsia"/>
              </w:rPr>
              <w:lastRenderedPageBreak/>
              <w:t xml:space="preserve">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tc>
          <w:tcPr>
            <w:tcW w:w="1271" w:type="dxa"/>
          </w:tcPr>
          <w:p w14:paraId="371EF962"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63"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tc>
          <w:tcPr>
            <w:tcW w:w="1271"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tc>
          <w:tcPr>
            <w:tcW w:w="1271"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tc>
          <w:tcPr>
            <w:tcW w:w="1271"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tc>
          <w:tcPr>
            <w:tcW w:w="1271"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187C98">
        <w:tc>
          <w:tcPr>
            <w:tcW w:w="1271"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BE4043">
        <w:tc>
          <w:tcPr>
            <w:tcW w:w="1271"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BE4043">
        <w:tc>
          <w:tcPr>
            <w:tcW w:w="1271"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BE4043">
        <w:tc>
          <w:tcPr>
            <w:tcW w:w="1271" w:type="dxa"/>
          </w:tcPr>
          <w:p w14:paraId="278E9F13" w14:textId="04133C3F" w:rsidR="00ED7D94" w:rsidRDefault="00ED7D94" w:rsidP="00ED7D94">
            <w:pPr>
              <w:spacing w:after="0"/>
              <w:jc w:val="center"/>
              <w:rPr>
                <w:rFonts w:eastAsiaTheme="minorEastAsia" w:hint="eastAsia"/>
              </w:rPr>
            </w:pPr>
            <w:r>
              <w:rPr>
                <w:rFonts w:eastAsiaTheme="minorEastAsia"/>
              </w:rPr>
              <w:t>NOKIA/NSB</w:t>
            </w:r>
          </w:p>
        </w:tc>
        <w:tc>
          <w:tcPr>
            <w:tcW w:w="8363"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lastRenderedPageBreak/>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tc>
          <w:tcPr>
            <w:tcW w:w="1271"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tc>
          <w:tcPr>
            <w:tcW w:w="1271"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tc>
          <w:tcPr>
            <w:tcW w:w="1271"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63"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tc>
          <w:tcPr>
            <w:tcW w:w="1271"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63"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tc>
          <w:tcPr>
            <w:tcW w:w="1271"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tc>
          <w:tcPr>
            <w:tcW w:w="1271"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tc>
          <w:tcPr>
            <w:tcW w:w="1271"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tc>
          <w:tcPr>
            <w:tcW w:w="1271"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tc>
          <w:tcPr>
            <w:tcW w:w="1271"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187C98">
        <w:tc>
          <w:tcPr>
            <w:tcW w:w="1271"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BE4043">
        <w:tc>
          <w:tcPr>
            <w:tcW w:w="1271"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BE4043">
        <w:tc>
          <w:tcPr>
            <w:tcW w:w="1271" w:type="dxa"/>
          </w:tcPr>
          <w:p w14:paraId="588B60FF" w14:textId="531AFAF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BE4043">
        <w:tc>
          <w:tcPr>
            <w:tcW w:w="1271" w:type="dxa"/>
          </w:tcPr>
          <w:p w14:paraId="07335B63" w14:textId="02C20C79" w:rsidR="00F04482" w:rsidRDefault="00F04482" w:rsidP="00F04482">
            <w:pPr>
              <w:spacing w:after="0"/>
              <w:jc w:val="center"/>
              <w:rPr>
                <w:rFonts w:eastAsiaTheme="minorEastAsia" w:hint="eastAsia"/>
              </w:rPr>
            </w:pPr>
            <w:r>
              <w:rPr>
                <w:rFonts w:eastAsiaTheme="minorEastAsia"/>
              </w:rPr>
              <w:t>NOKIA/NSB</w:t>
            </w:r>
          </w:p>
        </w:tc>
        <w:tc>
          <w:tcPr>
            <w:tcW w:w="8363" w:type="dxa"/>
          </w:tcPr>
          <w:p w14:paraId="58459106" w14:textId="69653CE5" w:rsidR="00F04482" w:rsidRDefault="00F04482" w:rsidP="00F04482">
            <w:pPr>
              <w:spacing w:after="0"/>
              <w:jc w:val="left"/>
              <w:rPr>
                <w:rFonts w:eastAsiaTheme="minorEastAsia"/>
              </w:rPr>
            </w:pPr>
            <w:r>
              <w:rPr>
                <w:rFonts w:eastAsiaTheme="minorEastAsia"/>
              </w:rPr>
              <w:t>Fine</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lastRenderedPageBreak/>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tc>
          <w:tcPr>
            <w:tcW w:w="1271"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tc>
          <w:tcPr>
            <w:tcW w:w="1271"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tc>
          <w:tcPr>
            <w:tcW w:w="1271"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tc>
          <w:tcPr>
            <w:tcW w:w="1271"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tc>
          <w:tcPr>
            <w:tcW w:w="1271"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tc>
          <w:tcPr>
            <w:tcW w:w="1271"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187C98">
        <w:tc>
          <w:tcPr>
            <w:tcW w:w="1271"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187C98">
        <w:tc>
          <w:tcPr>
            <w:tcW w:w="1271"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187C98">
        <w:tc>
          <w:tcPr>
            <w:tcW w:w="1271" w:type="dxa"/>
          </w:tcPr>
          <w:p w14:paraId="609C10ED" w14:textId="30449D66" w:rsidR="00CC533D" w:rsidRDefault="00CC533D" w:rsidP="00CC533D">
            <w:pPr>
              <w:spacing w:after="0"/>
              <w:jc w:val="center"/>
              <w:rPr>
                <w:rFonts w:eastAsiaTheme="minorEastAsia" w:hint="eastAsia"/>
              </w:rPr>
            </w:pPr>
            <w:r>
              <w:rPr>
                <w:rFonts w:eastAsiaTheme="minorEastAsia"/>
              </w:rPr>
              <w:t>NOKIA/NSB</w:t>
            </w:r>
          </w:p>
        </w:tc>
        <w:tc>
          <w:tcPr>
            <w:tcW w:w="8363"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tc>
          <w:tcPr>
            <w:tcW w:w="1271"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tc>
          <w:tcPr>
            <w:tcW w:w="1271"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tc>
          <w:tcPr>
            <w:tcW w:w="1271"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tc>
          <w:tcPr>
            <w:tcW w:w="1271"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tc>
          <w:tcPr>
            <w:tcW w:w="1271"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tc>
          <w:tcPr>
            <w:tcW w:w="1271"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63"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187C98">
        <w:tc>
          <w:tcPr>
            <w:tcW w:w="1271"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187C98">
        <w:tc>
          <w:tcPr>
            <w:tcW w:w="1271"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63"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lastRenderedPageBreak/>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tc>
          <w:tcPr>
            <w:tcW w:w="1271"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tc>
          <w:tcPr>
            <w:tcW w:w="1271"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tc>
          <w:tcPr>
            <w:tcW w:w="1271"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tc>
          <w:tcPr>
            <w:tcW w:w="1271"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187C98">
        <w:tc>
          <w:tcPr>
            <w:tcW w:w="1271"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187C98">
        <w:tc>
          <w:tcPr>
            <w:tcW w:w="1271"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187C98">
        <w:tc>
          <w:tcPr>
            <w:tcW w:w="1271" w:type="dxa"/>
          </w:tcPr>
          <w:p w14:paraId="1A9FDB73" w14:textId="452B4A92" w:rsidR="00B63120" w:rsidRDefault="00B63120" w:rsidP="00B63120">
            <w:pPr>
              <w:spacing w:after="0"/>
              <w:jc w:val="center"/>
              <w:rPr>
                <w:rFonts w:eastAsiaTheme="minorEastAsia" w:hint="eastAsia"/>
              </w:rPr>
            </w:pPr>
            <w:r>
              <w:rPr>
                <w:rFonts w:eastAsiaTheme="minorEastAsia"/>
              </w:rPr>
              <w:t>NOKIA/NSB</w:t>
            </w:r>
          </w:p>
        </w:tc>
        <w:tc>
          <w:tcPr>
            <w:tcW w:w="8363" w:type="dxa"/>
          </w:tcPr>
          <w:p w14:paraId="01B29569" w14:textId="28D89756" w:rsidR="00B63120" w:rsidRDefault="00B63120" w:rsidP="00B63120">
            <w:pPr>
              <w:spacing w:after="0"/>
              <w:jc w:val="left"/>
              <w:rPr>
                <w:bCs/>
              </w:rPr>
            </w:pPr>
            <w:r>
              <w:rPr>
                <w:rFonts w:eastAsiaTheme="minorEastAsia"/>
              </w:rPr>
              <w:t>Agree</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lastRenderedPageBreak/>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049" w:type="dxa"/>
        <w:tblLook w:val="04A0" w:firstRow="1" w:lastRow="0" w:firstColumn="1" w:lastColumn="0" w:noHBand="0" w:noVBand="1"/>
      </w:tblPr>
      <w:tblGrid>
        <w:gridCol w:w="1305"/>
        <w:gridCol w:w="8799"/>
      </w:tblGrid>
      <w:tr w:rsidR="003E2F09" w14:paraId="13CFE075" w14:textId="77777777" w:rsidTr="00BE4043">
        <w:tc>
          <w:tcPr>
            <w:tcW w:w="1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BE4043">
        <w:tc>
          <w:tcPr>
            <w:tcW w:w="1250"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BE4043">
        <w:tc>
          <w:tcPr>
            <w:tcW w:w="1250"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BE4043">
        <w:tc>
          <w:tcPr>
            <w:tcW w:w="1250"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BE4043">
        <w:tc>
          <w:tcPr>
            <w:tcW w:w="1250"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BE4043">
        <w:tc>
          <w:tcPr>
            <w:tcW w:w="1250"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BE4043">
        <w:tc>
          <w:tcPr>
            <w:tcW w:w="1250"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BE4043">
        <w:tc>
          <w:tcPr>
            <w:tcW w:w="1250"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BE4043">
        <w:tc>
          <w:tcPr>
            <w:tcW w:w="1250"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BE4043">
        <w:tc>
          <w:tcPr>
            <w:tcW w:w="1250"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BE4043">
        <w:tc>
          <w:tcPr>
            <w:tcW w:w="1250"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lastRenderedPageBreak/>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tc>
          <w:tcPr>
            <w:tcW w:w="1271"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tc>
          <w:tcPr>
            <w:tcW w:w="1271"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tc>
          <w:tcPr>
            <w:tcW w:w="1271"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tc>
          <w:tcPr>
            <w:tcW w:w="1271"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tc>
          <w:tcPr>
            <w:tcW w:w="1271"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lastRenderedPageBreak/>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187C98">
        <w:tc>
          <w:tcPr>
            <w:tcW w:w="1271" w:type="dxa"/>
          </w:tcPr>
          <w:p w14:paraId="43D2B167" w14:textId="77777777" w:rsidR="00187C98" w:rsidRDefault="00187C98" w:rsidP="009E2A0C">
            <w:pPr>
              <w:spacing w:after="0"/>
              <w:jc w:val="center"/>
              <w:rPr>
                <w:rFonts w:eastAsiaTheme="minorEastAsia"/>
              </w:rPr>
            </w:pPr>
            <w:r>
              <w:rPr>
                <w:rFonts w:eastAsiaTheme="minorEastAsia"/>
              </w:rPr>
              <w:lastRenderedPageBreak/>
              <w:t>Huawei, HiSilicon</w:t>
            </w:r>
          </w:p>
          <w:p w14:paraId="04EC8F98" w14:textId="77777777" w:rsidR="00187C98" w:rsidRDefault="00187C98" w:rsidP="009E2A0C">
            <w:pPr>
              <w:spacing w:after="0"/>
              <w:jc w:val="center"/>
              <w:rPr>
                <w:rFonts w:eastAsiaTheme="minorEastAsia"/>
              </w:rPr>
            </w:pPr>
          </w:p>
        </w:tc>
        <w:tc>
          <w:tcPr>
            <w:tcW w:w="8363"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BE4043">
        <w:tc>
          <w:tcPr>
            <w:tcW w:w="1271"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63"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BE4043">
        <w:tc>
          <w:tcPr>
            <w:tcW w:w="1271"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63" w:type="dxa"/>
          </w:tcPr>
          <w:p w14:paraId="54333DB2" w14:textId="0B3B3E2A" w:rsidR="00506C52" w:rsidRDefault="00506C52" w:rsidP="00506C52">
            <w:pPr>
              <w:spacing w:after="0"/>
              <w:jc w:val="left"/>
              <w:rPr>
                <w:rFonts w:eastAsiaTheme="minorEastAsia"/>
              </w:rPr>
            </w:pPr>
            <w:r>
              <w:rPr>
                <w:rFonts w:eastAsiaTheme="minorEastAsia"/>
              </w:rPr>
              <w:t>OK</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tc>
          <w:tcPr>
            <w:tcW w:w="1271"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tc>
          <w:tcPr>
            <w:tcW w:w="1271"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tc>
          <w:tcPr>
            <w:tcW w:w="1271"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tc>
          <w:tcPr>
            <w:tcW w:w="1271"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187C98">
        <w:tc>
          <w:tcPr>
            <w:tcW w:w="1271"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BE4043">
        <w:tc>
          <w:tcPr>
            <w:tcW w:w="1271"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63"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BE4043">
        <w:tc>
          <w:tcPr>
            <w:tcW w:w="1271"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BE4043">
        <w:tc>
          <w:tcPr>
            <w:tcW w:w="1271" w:type="dxa"/>
          </w:tcPr>
          <w:p w14:paraId="1BC56FA6" w14:textId="468F985B" w:rsidR="00444198" w:rsidRDefault="00444198" w:rsidP="00444198">
            <w:pPr>
              <w:spacing w:after="0"/>
              <w:jc w:val="center"/>
              <w:rPr>
                <w:rFonts w:eastAsiaTheme="minorEastAsia" w:hint="eastAsia"/>
              </w:rPr>
            </w:pPr>
            <w:r>
              <w:rPr>
                <w:rFonts w:eastAsiaTheme="minorEastAsia"/>
              </w:rPr>
              <w:lastRenderedPageBreak/>
              <w:t>NOKIA/NSB</w:t>
            </w:r>
          </w:p>
        </w:tc>
        <w:tc>
          <w:tcPr>
            <w:tcW w:w="8363"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bl>
    <w:p w14:paraId="25BEA452" w14:textId="77777777" w:rsidR="003E2F09" w:rsidRPr="00BE4043" w:rsidRDefault="003E2F09"/>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tc>
          <w:tcPr>
            <w:tcW w:w="1271"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tc>
          <w:tcPr>
            <w:tcW w:w="1271"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tc>
          <w:tcPr>
            <w:tcW w:w="1271"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tc>
          <w:tcPr>
            <w:tcW w:w="1271"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tc>
          <w:tcPr>
            <w:tcW w:w="1271"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tc>
          <w:tcPr>
            <w:tcW w:w="1271"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187C98">
        <w:tc>
          <w:tcPr>
            <w:tcW w:w="1271"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BE4043">
        <w:tc>
          <w:tcPr>
            <w:tcW w:w="1271"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63"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BE4043">
        <w:tc>
          <w:tcPr>
            <w:tcW w:w="1271"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BE4043">
        <w:tc>
          <w:tcPr>
            <w:tcW w:w="1271" w:type="dxa"/>
          </w:tcPr>
          <w:p w14:paraId="64A831ED" w14:textId="32F61F34" w:rsidR="008F75D5" w:rsidRDefault="008F75D5" w:rsidP="008F75D5">
            <w:pPr>
              <w:spacing w:after="0"/>
              <w:jc w:val="center"/>
              <w:rPr>
                <w:rFonts w:eastAsiaTheme="minorEastAsia" w:hint="eastAsia"/>
              </w:rPr>
            </w:pPr>
            <w:r>
              <w:rPr>
                <w:rFonts w:eastAsiaTheme="minorEastAsia"/>
              </w:rPr>
              <w:t>NOKIA/NSB</w:t>
            </w:r>
          </w:p>
        </w:tc>
        <w:tc>
          <w:tcPr>
            <w:tcW w:w="8363"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tc>
          <w:tcPr>
            <w:tcW w:w="1271"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tc>
          <w:tcPr>
            <w:tcW w:w="1271"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tc>
          <w:tcPr>
            <w:tcW w:w="1271"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tc>
          <w:tcPr>
            <w:tcW w:w="1271" w:type="dxa"/>
          </w:tcPr>
          <w:p w14:paraId="3CD9EEDB" w14:textId="77777777" w:rsidR="003E2F09" w:rsidRDefault="00063932">
            <w:pPr>
              <w:spacing w:after="0"/>
              <w:jc w:val="center"/>
              <w:rPr>
                <w:rFonts w:eastAsia="MS Mincho"/>
                <w:lang w:eastAsia="ja-JP"/>
              </w:rPr>
            </w:pPr>
            <w:r>
              <w:rPr>
                <w:rFonts w:eastAsia="MS Mincho" w:hint="eastAsia"/>
                <w:lang w:eastAsia="ja-JP"/>
              </w:rPr>
              <w:lastRenderedPageBreak/>
              <w:t>F</w:t>
            </w:r>
            <w:r>
              <w:rPr>
                <w:rFonts w:eastAsia="MS Mincho"/>
                <w:lang w:eastAsia="ja-JP"/>
              </w:rPr>
              <w:t>ujitsu</w:t>
            </w:r>
          </w:p>
        </w:tc>
        <w:tc>
          <w:tcPr>
            <w:tcW w:w="8363"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tc>
          <w:tcPr>
            <w:tcW w:w="1271"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tc>
          <w:tcPr>
            <w:tcW w:w="1271"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187C98">
        <w:tc>
          <w:tcPr>
            <w:tcW w:w="1271"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BE4043">
        <w:tc>
          <w:tcPr>
            <w:tcW w:w="1271"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63"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BE4043">
        <w:tc>
          <w:tcPr>
            <w:tcW w:w="1271"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BE4043">
        <w:tc>
          <w:tcPr>
            <w:tcW w:w="1271" w:type="dxa"/>
          </w:tcPr>
          <w:p w14:paraId="40487B26" w14:textId="4DE840D6" w:rsidR="00DB10CE" w:rsidRDefault="00DB10CE" w:rsidP="00DB10CE">
            <w:pPr>
              <w:spacing w:after="0"/>
              <w:jc w:val="center"/>
              <w:rPr>
                <w:rFonts w:eastAsiaTheme="minorEastAsia" w:hint="eastAsia"/>
              </w:rPr>
            </w:pPr>
            <w:r>
              <w:rPr>
                <w:rFonts w:eastAsiaTheme="minorEastAsia"/>
              </w:rPr>
              <w:t>NOKIA/NSB</w:t>
            </w:r>
          </w:p>
        </w:tc>
        <w:tc>
          <w:tcPr>
            <w:tcW w:w="8363" w:type="dxa"/>
          </w:tcPr>
          <w:p w14:paraId="37A94955" w14:textId="620C243D" w:rsidR="00DB10CE" w:rsidRDefault="00DB10CE" w:rsidP="00DB10CE">
            <w:pPr>
              <w:spacing w:after="0"/>
              <w:jc w:val="left"/>
              <w:rPr>
                <w:rFonts w:eastAsiaTheme="minorEastAsia"/>
              </w:rPr>
            </w:pPr>
            <w:r>
              <w:rPr>
                <w:rFonts w:eastAsiaTheme="minorEastAsia"/>
              </w:rPr>
              <w:t>OK</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tc>
          <w:tcPr>
            <w:tcW w:w="1271"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tc>
          <w:tcPr>
            <w:tcW w:w="1271"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tc>
          <w:tcPr>
            <w:tcW w:w="1271"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tc>
          <w:tcPr>
            <w:tcW w:w="1271"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187C98">
        <w:tc>
          <w:tcPr>
            <w:tcW w:w="1271"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BE4043">
        <w:tc>
          <w:tcPr>
            <w:tcW w:w="1271"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63"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BE4043">
        <w:tc>
          <w:tcPr>
            <w:tcW w:w="1271"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BE4043">
        <w:tc>
          <w:tcPr>
            <w:tcW w:w="1271" w:type="dxa"/>
          </w:tcPr>
          <w:p w14:paraId="521EE136" w14:textId="646D24C2" w:rsidR="00356F4B" w:rsidRDefault="00356F4B" w:rsidP="00356F4B">
            <w:pPr>
              <w:spacing w:after="0"/>
              <w:jc w:val="center"/>
              <w:rPr>
                <w:rFonts w:eastAsiaTheme="minorEastAsia" w:hint="eastAsia"/>
              </w:rPr>
            </w:pPr>
            <w:r>
              <w:rPr>
                <w:rFonts w:eastAsiaTheme="minorEastAsia"/>
              </w:rPr>
              <w:t>NOKIA/NSB</w:t>
            </w:r>
          </w:p>
        </w:tc>
        <w:tc>
          <w:tcPr>
            <w:tcW w:w="8363" w:type="dxa"/>
          </w:tcPr>
          <w:p w14:paraId="05B2AFF5" w14:textId="4A281A77" w:rsidR="00356F4B" w:rsidRDefault="00356F4B" w:rsidP="00356F4B">
            <w:pPr>
              <w:spacing w:after="0"/>
              <w:jc w:val="left"/>
              <w:rPr>
                <w:rFonts w:eastAsiaTheme="minorEastAsia"/>
              </w:rPr>
            </w:pPr>
            <w:r>
              <w:rPr>
                <w:rFonts w:eastAsiaTheme="minorEastAsia"/>
              </w:rPr>
              <w:t>OK</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lastRenderedPageBreak/>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tc>
          <w:tcPr>
            <w:tcW w:w="1271"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tc>
          <w:tcPr>
            <w:tcW w:w="1271"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tc>
          <w:tcPr>
            <w:tcW w:w="1271"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tc>
          <w:tcPr>
            <w:tcW w:w="1271"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tc>
          <w:tcPr>
            <w:tcW w:w="1271"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tc>
          <w:tcPr>
            <w:tcW w:w="1271"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187C98">
        <w:tc>
          <w:tcPr>
            <w:tcW w:w="1271"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BE4043">
        <w:trPr>
          <w:trHeight w:val="328"/>
        </w:trPr>
        <w:tc>
          <w:tcPr>
            <w:tcW w:w="1271"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63"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BE4043">
        <w:trPr>
          <w:trHeight w:val="328"/>
        </w:trPr>
        <w:tc>
          <w:tcPr>
            <w:tcW w:w="1271"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BE4043">
        <w:trPr>
          <w:trHeight w:val="328"/>
        </w:trPr>
        <w:tc>
          <w:tcPr>
            <w:tcW w:w="1271" w:type="dxa"/>
          </w:tcPr>
          <w:p w14:paraId="2C6C028F" w14:textId="37FB3A68" w:rsidR="004E7C87" w:rsidRDefault="004E7C87" w:rsidP="004E7C87">
            <w:pPr>
              <w:spacing w:after="0"/>
              <w:jc w:val="center"/>
              <w:rPr>
                <w:rFonts w:eastAsiaTheme="minorEastAsia" w:hint="eastAsia"/>
              </w:rPr>
            </w:pPr>
            <w:r>
              <w:rPr>
                <w:rFonts w:eastAsiaTheme="minorEastAsia"/>
              </w:rPr>
              <w:t>NOKIA/NSB</w:t>
            </w:r>
          </w:p>
        </w:tc>
        <w:tc>
          <w:tcPr>
            <w:tcW w:w="8363"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1294" w:type="dxa"/>
          </w:tcPr>
          <w:p w14:paraId="24CC7087" w14:textId="77777777" w:rsidR="003E2F09" w:rsidRDefault="00063932">
            <w:pPr>
              <w:spacing w:after="0"/>
              <w:rPr>
                <w:rFonts w:eastAsiaTheme="minorEastAsia"/>
                <w:i/>
              </w:rPr>
            </w:pPr>
            <w:r>
              <w:lastRenderedPageBreak/>
              <w:t xml:space="preserve">Antenna </w:t>
            </w:r>
            <w:r>
              <w:lastRenderedPageBreak/>
              <w:t xml:space="preserve">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lastRenderedPageBreak/>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lastRenderedPageBreak/>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hint="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 xml:space="preserve">UE noise </w:t>
            </w:r>
            <w:r>
              <w:rPr>
                <w:rFonts w:eastAsiaTheme="minorEastAsia"/>
              </w:rPr>
              <w:lastRenderedPageBreak/>
              <w:t>figure</w:t>
            </w:r>
          </w:p>
        </w:tc>
        <w:tc>
          <w:tcPr>
            <w:tcW w:w="0" w:type="auto"/>
          </w:tcPr>
          <w:p w14:paraId="263AF27A" w14:textId="174C894C" w:rsidR="001C2196" w:rsidRDefault="001C2196" w:rsidP="001C2196">
            <w:pPr>
              <w:rPr>
                <w:rFonts w:eastAsiaTheme="minorEastAsia"/>
              </w:rPr>
            </w:pPr>
            <w:r>
              <w:rPr>
                <w:rFonts w:eastAsiaTheme="minorEastAsia"/>
              </w:rPr>
              <w:lastRenderedPageBreak/>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3B63C0">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3B63C0">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3B63C0">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3B63C0">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3B63C0">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3B63C0">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3B63C0">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3B63C0">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3B63C0">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3B63C0">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3B63C0">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3B63C0">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3B63C0">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3B63C0">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3B63C0">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3B63C0">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3B63C0">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3B63C0">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3B63C0">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3B63C0">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3B63C0">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3B63C0">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lastRenderedPageBreak/>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3B63C0">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3B63C0">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 xml:space="preserve">For evaluation, the scaling in a BS energy consumption model can be considered based on one or more of </w:t>
            </w:r>
            <w:r>
              <w:rPr>
                <w:lang w:eastAsia="zh-CN"/>
              </w:rPr>
              <w:lastRenderedPageBreak/>
              <w:t>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3B63C0">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lastRenderedPageBreak/>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3B63C0">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3B63C0">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lastRenderedPageBreak/>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3B63C0">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3B63C0">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6B1" w14:textId="77777777" w:rsidR="003B63C0" w:rsidRDefault="003B63C0" w:rsidP="00187C98">
      <w:pPr>
        <w:spacing w:after="0" w:line="240" w:lineRule="auto"/>
      </w:pPr>
      <w:r>
        <w:separator/>
      </w:r>
    </w:p>
  </w:endnote>
  <w:endnote w:type="continuationSeparator" w:id="0">
    <w:p w14:paraId="2676B69E" w14:textId="77777777" w:rsidR="003B63C0" w:rsidRDefault="003B63C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4CBE" w14:textId="77777777" w:rsidR="003B63C0" w:rsidRDefault="003B63C0" w:rsidP="00187C98">
      <w:pPr>
        <w:spacing w:after="0" w:line="240" w:lineRule="auto"/>
      </w:pPr>
      <w:r>
        <w:separator/>
      </w:r>
    </w:p>
  </w:footnote>
  <w:footnote w:type="continuationSeparator" w:id="0">
    <w:p w14:paraId="2B8D3201" w14:textId="77777777" w:rsidR="003B63C0" w:rsidRDefault="003B63C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12688</Words>
  <Characters>72323</Characters>
  <Application>Microsoft Office Word</Application>
  <DocSecurity>0</DocSecurity>
  <Lines>602</Lines>
  <Paragraphs>169</Paragraphs>
  <ScaleCrop>false</ScaleCrop>
  <Company>Huawei Technologies</Company>
  <LinksUpToDate>false</LinksUpToDate>
  <CharactersWithSpaces>84842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Zheng, Naizheng (NSB - CN/Beijing)</cp:lastModifiedBy>
  <cp:revision>25</cp:revision>
  <cp:lastPrinted>2007-06-19T04:08:00Z</cp:lastPrinted>
  <dcterms:created xsi:type="dcterms:W3CDTF">2022-08-23T06:49:00Z</dcterms:created>
  <dcterms:modified xsi:type="dcterms:W3CDTF">2022-08-23T07:00:00Z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