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Positioning support for RedCap UEs, considering the following:</w:t>
            </w:r>
          </w:p>
          <w:p w14:paraId="45318D0B" w14:textId="77777777" w:rsidR="004F3423" w:rsidRPr="001A5A0D" w:rsidRDefault="004F3423">
            <w:pPr>
              <w:numPr>
                <w:ilvl w:val="1"/>
                <w:numId w:val="21"/>
              </w:numPr>
              <w:spacing w:after="0"/>
              <w:rPr>
                <w:bCs/>
              </w:rPr>
            </w:pPr>
            <w:r w:rsidRPr="001A5A0D">
              <w:rPr>
                <w:bCs/>
              </w:rPr>
              <w:t>Evaluate positioning performance of existing positioning procedures and measurements with RedCap UEs[RAN1]</w:t>
            </w:r>
          </w:p>
          <w:p w14:paraId="18FCB0F8" w14:textId="77777777" w:rsidR="004F3423" w:rsidRPr="001A5A0D" w:rsidRDefault="004F3423">
            <w:pPr>
              <w:numPr>
                <w:ilvl w:val="1"/>
                <w:numId w:val="21"/>
              </w:numPr>
              <w:spacing w:after="0"/>
              <w:rPr>
                <w:bCs/>
              </w:rPr>
            </w:pPr>
            <w:r w:rsidRPr="001A5A0D">
              <w:rPr>
                <w:bCs/>
              </w:rPr>
              <w:t>Based on the evaluation, assess the necessity of enhancements and, if needed, identify enhancements to help address limitations associated with for RedCap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Enhancements for positioning of RedCap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000000"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r>
              <w:rPr>
                <w:rFonts w:eastAsiaTheme="minorEastAsia" w:hint="eastAsia"/>
                <w:lang w:eastAsia="zh-CN"/>
              </w:rPr>
              <w:t>C</w:t>
            </w:r>
            <w:r>
              <w:rPr>
                <w:rFonts w:eastAsiaTheme="minorEastAsia"/>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r w:rsidR="00C55024" w:rsidRPr="001137ED" w14:paraId="3F72EFDF"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46744F"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N</w:t>
            </w:r>
            <w:r w:rsidRPr="00C55024">
              <w:rPr>
                <w:rFonts w:eastAsiaTheme="minorEastAsia"/>
                <w:lang w:eastAsia="zh-CN"/>
              </w:rPr>
              <w:t>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DE8C0E8"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osuke Shima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3D65B1"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ousuke.shima.nr@nttdocomo.com</w:t>
            </w:r>
          </w:p>
        </w:tc>
      </w:tr>
      <w:tr w:rsidR="002D4CF9" w:rsidRPr="001137ED" w14:paraId="09788808"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1442E1C" w14:textId="5F1A122F" w:rsidR="002D4CF9" w:rsidRPr="00C55024" w:rsidRDefault="002D4CF9" w:rsidP="002D4CF9">
            <w:pPr>
              <w:widowControl w:val="0"/>
              <w:rPr>
                <w:rFonts w:eastAsiaTheme="minorEastAsia"/>
                <w:lang w:eastAsia="zh-CN"/>
              </w:rPr>
            </w:pPr>
            <w:r>
              <w:rPr>
                <w:rFonts w:eastAsiaTheme="minorEastAsia"/>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A9A6BD" w14:textId="30D1FF96" w:rsidR="002D4CF9" w:rsidRPr="00C55024" w:rsidRDefault="002D4CF9" w:rsidP="002D4CF9">
            <w:pPr>
              <w:widowControl w:val="0"/>
              <w:rPr>
                <w:rFonts w:eastAsiaTheme="minorEastAsia"/>
                <w:lang w:eastAsia="zh-CN"/>
              </w:rPr>
            </w:pPr>
            <w:r>
              <w:rPr>
                <w:rFonts w:eastAsiaTheme="minorEastAsia"/>
                <w:lang w:eastAsia="zh-CN"/>
              </w:rPr>
              <w:t>Jianfei Cao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A6E6DD6" w14:textId="5A85DDF5" w:rsidR="002D4CF9" w:rsidRPr="00C55024" w:rsidRDefault="002D4CF9" w:rsidP="002D4CF9">
            <w:pPr>
              <w:widowControl w:val="0"/>
              <w:rPr>
                <w:rFonts w:eastAsiaTheme="minorEastAsia"/>
                <w:lang w:eastAsia="zh-CN"/>
              </w:rPr>
            </w:pPr>
            <w:r>
              <w:rPr>
                <w:rFonts w:eastAsiaTheme="minorEastAsia"/>
                <w:lang w:eastAsia="zh-CN"/>
              </w:rPr>
              <w:t>caojianfei@oppo.com</w:t>
            </w:r>
          </w:p>
        </w:tc>
      </w:tr>
    </w:tbl>
    <w:p w14:paraId="35C0C334" w14:textId="77777777" w:rsidR="002234A6" w:rsidRPr="00C55024" w:rsidRDefault="002234A6" w:rsidP="00514FE9">
      <w:pPr>
        <w:pStyle w:val="3GPPText"/>
        <w:rPr>
          <w:highlight w:val="cyan"/>
          <w:lang w:val="en-GB"/>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requirements</w:t>
      </w:r>
      <w:r w:rsidR="00907C6E">
        <w:t>[1][3][10] [12][18]</w:t>
      </w:r>
      <w:r w:rsidR="007350B6">
        <w:t xml:space="preserve">. </w:t>
      </w:r>
      <w:r w:rsidR="00EF429B">
        <w:t>[2] propose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RedCap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RedCap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RedCap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SimSun"/>
                <w:b/>
                <w:i/>
                <w:lang w:eastAsia="zh-CN"/>
              </w:rPr>
              <w:t>Support looser positioning accuracy requirement for RedCap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RedCap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lastRenderedPageBreak/>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he positioning accuracy requirement for Rel-18 RedCap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RedCap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RedCap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The following positioning accuracy requirements can be considered for RedCap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roposal 1: The requirements of the RedCap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m for RedCap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RedCap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Reuse the positioning requirements of wearables, industrial wireless sensors with the battery life limitation of a few years, and augmented reality in smart factories in TS 22.261 and TS 22.104 (i.e. the summary in Table 3) for RedCap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requirements, </w:t>
      </w:r>
      <w:r w:rsidR="008425C7">
        <w:t xml:space="preserve"> </w:t>
      </w:r>
      <w:r w:rsidR="00707E6F">
        <w:t>we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RedCap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SimSun" w:hAnsi="Times New Roman"/>
                <w:i/>
                <w:sz w:val="20"/>
                <w:szCs w:val="20"/>
              </w:rPr>
              <w:t xml:space="preserve">For evaluation for RedCap UE positioning in commercial use cases and </w:t>
            </w:r>
            <w:proofErr w:type="spellStart"/>
            <w:r>
              <w:rPr>
                <w:rFonts w:ascii="Times New Roman" w:eastAsia="SimSun" w:hAnsi="Times New Roman"/>
                <w:i/>
                <w:sz w:val="20"/>
                <w:szCs w:val="20"/>
              </w:rPr>
              <w:t>IIoT</w:t>
            </w:r>
            <w:proofErr w:type="spellEnd"/>
            <w:r>
              <w:rPr>
                <w:rFonts w:ascii="Times New Roman" w:eastAsia="SimSun" w:hAnsi="Times New Roman"/>
                <w:i/>
                <w:sz w:val="20"/>
                <w:szCs w:val="20"/>
              </w:rPr>
              <w:t xml:space="preserve"> use cases, pursue </w:t>
            </w:r>
            <w:r w:rsidR="003B21FA">
              <w:rPr>
                <w:rFonts w:ascii="Times New Roman" w:eastAsia="SimSun" w:hAnsi="Times New Roman"/>
                <w:i/>
                <w:sz w:val="20"/>
                <w:szCs w:val="20"/>
              </w:rPr>
              <w:t>comparable</w:t>
            </w:r>
            <w:r>
              <w:rPr>
                <w:rFonts w:ascii="Times New Roman" w:eastAsia="SimSun" w:hAnsi="Times New Roman"/>
                <w:i/>
                <w:sz w:val="20"/>
                <w:szCs w:val="20"/>
              </w:rPr>
              <w:t xml:space="preserve"> target positioning requirements</w:t>
            </w:r>
            <w:r w:rsidR="003B21FA">
              <w:rPr>
                <w:rFonts w:ascii="Times New Roman" w:eastAsia="SimSun" w:hAnsi="Times New Roman"/>
                <w:i/>
                <w:sz w:val="20"/>
                <w:szCs w:val="20"/>
              </w:rPr>
              <w:t xml:space="preserve"> as</w:t>
            </w:r>
            <w:r>
              <w:rPr>
                <w:rFonts w:ascii="Times New Roman" w:eastAsia="SimSun"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r w:rsidR="00652492" w14:paraId="1F85F709" w14:textId="77777777" w:rsidTr="00BB5C1C">
        <w:tc>
          <w:tcPr>
            <w:tcW w:w="1838" w:type="dxa"/>
          </w:tcPr>
          <w:p w14:paraId="2DB8956D" w14:textId="622507B2" w:rsidR="00652492" w:rsidRDefault="00652492" w:rsidP="00652492">
            <w:pPr>
              <w:pStyle w:val="3GPPAgreements"/>
              <w:numPr>
                <w:ilvl w:val="0"/>
                <w:numId w:val="0"/>
              </w:numPr>
              <w:rPr>
                <w:rFonts w:eastAsiaTheme="minorEastAsia"/>
                <w:sz w:val="20"/>
                <w:lang w:val="en-GB"/>
              </w:rPr>
            </w:pPr>
            <w:r>
              <w:rPr>
                <w:rFonts w:eastAsiaTheme="minorEastAsia" w:hint="eastAsia"/>
                <w:sz w:val="20"/>
                <w:lang w:val="en-GB"/>
              </w:rPr>
              <w:t>H</w:t>
            </w:r>
            <w:r>
              <w:rPr>
                <w:rFonts w:eastAsiaTheme="minorEastAsia"/>
                <w:sz w:val="20"/>
                <w:lang w:val="en-GB"/>
              </w:rPr>
              <w:t>uawei, HiSilicon</w:t>
            </w:r>
          </w:p>
        </w:tc>
        <w:tc>
          <w:tcPr>
            <w:tcW w:w="7840" w:type="dxa"/>
          </w:tcPr>
          <w:p w14:paraId="1D494919" w14:textId="41A52E6D" w:rsidR="00652492" w:rsidRDefault="00652492" w:rsidP="00652492">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O</w:t>
            </w:r>
            <w:r>
              <w:rPr>
                <w:rFonts w:ascii="Times New Roman" w:eastAsiaTheme="minorEastAsia" w:hAnsi="Times New Roman" w:cs="Times New Roman"/>
                <w:b w:val="0"/>
                <w:sz w:val="20"/>
                <w:szCs w:val="20"/>
              </w:rPr>
              <w:t>K</w:t>
            </w:r>
          </w:p>
        </w:tc>
      </w:tr>
      <w:tr w:rsidR="00203A68" w14:paraId="2985E681" w14:textId="77777777" w:rsidTr="00BB5C1C">
        <w:tc>
          <w:tcPr>
            <w:tcW w:w="1838" w:type="dxa"/>
          </w:tcPr>
          <w:p w14:paraId="236A8012" w14:textId="6152DB9D" w:rsidR="00203A68" w:rsidRPr="00203A68" w:rsidRDefault="00203A68" w:rsidP="00652492">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TT DOCOMO</w:t>
            </w:r>
          </w:p>
        </w:tc>
        <w:tc>
          <w:tcPr>
            <w:tcW w:w="7840" w:type="dxa"/>
          </w:tcPr>
          <w:p w14:paraId="47BFF0CE" w14:textId="48FDF1E4" w:rsidR="00203A68" w:rsidRPr="00203A68" w:rsidRDefault="00203A68"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OK with CATT’s updated proposal.</w:t>
            </w:r>
          </w:p>
        </w:tc>
      </w:tr>
      <w:tr w:rsidR="00C10C67" w14:paraId="789202A8" w14:textId="77777777" w:rsidTr="00BB5C1C">
        <w:tc>
          <w:tcPr>
            <w:tcW w:w="1838" w:type="dxa"/>
          </w:tcPr>
          <w:p w14:paraId="398B1D05" w14:textId="6E5E4ABD" w:rsidR="00C10C67" w:rsidRDefault="00C10C67" w:rsidP="00652492">
            <w:pPr>
              <w:pStyle w:val="3GPPAgreements"/>
              <w:numPr>
                <w:ilvl w:val="0"/>
                <w:numId w:val="0"/>
              </w:numPr>
              <w:rPr>
                <w:rFonts w:eastAsia="MS Mincho"/>
                <w:sz w:val="20"/>
                <w:lang w:val="en-GB" w:eastAsia="ja-JP"/>
              </w:rPr>
            </w:pPr>
            <w:r>
              <w:rPr>
                <w:rFonts w:eastAsia="MS Mincho"/>
                <w:sz w:val="20"/>
                <w:lang w:val="en-GB" w:eastAsia="ja-JP"/>
              </w:rPr>
              <w:t>OPPO</w:t>
            </w:r>
          </w:p>
        </w:tc>
        <w:tc>
          <w:tcPr>
            <w:tcW w:w="7840" w:type="dxa"/>
          </w:tcPr>
          <w:p w14:paraId="28E51CE3" w14:textId="34C35CAF" w:rsidR="00C10C67" w:rsidRDefault="00C10C67"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Fine with CATT’s update on the proposal.</w:t>
            </w:r>
          </w:p>
        </w:tc>
      </w:tr>
      <w:tr w:rsidR="00407246" w14:paraId="07150A94" w14:textId="77777777" w:rsidTr="00BB5C1C">
        <w:tc>
          <w:tcPr>
            <w:tcW w:w="1838" w:type="dxa"/>
          </w:tcPr>
          <w:p w14:paraId="710A6C49" w14:textId="102CF4E6" w:rsidR="00407246" w:rsidRDefault="00407246" w:rsidP="00407246">
            <w:pPr>
              <w:pStyle w:val="3GPPAgreements"/>
              <w:numPr>
                <w:ilvl w:val="0"/>
                <w:numId w:val="0"/>
              </w:numPr>
              <w:rPr>
                <w:rFonts w:eastAsia="MS Mincho"/>
                <w:sz w:val="20"/>
                <w:lang w:val="en-GB" w:eastAsia="ja-JP"/>
              </w:rPr>
            </w:pPr>
            <w:r>
              <w:rPr>
                <w:rFonts w:eastAsiaTheme="minorEastAsia"/>
                <w:sz w:val="20"/>
              </w:rPr>
              <w:t>Apple</w:t>
            </w:r>
          </w:p>
        </w:tc>
        <w:tc>
          <w:tcPr>
            <w:tcW w:w="7840" w:type="dxa"/>
          </w:tcPr>
          <w:p w14:paraId="37E92AA0" w14:textId="1D4DE937" w:rsidR="00407246" w:rsidRDefault="00407246" w:rsidP="00407246">
            <w:pPr>
              <w:pStyle w:val="Proposal"/>
              <w:numPr>
                <w:ilvl w:val="0"/>
                <w:numId w:val="0"/>
              </w:numPr>
              <w:rPr>
                <w:rFonts w:ascii="Times New Roman" w:eastAsia="MS Mincho" w:hAnsi="Times New Roman" w:cs="Times New Roman"/>
                <w:b w:val="0"/>
                <w:sz w:val="20"/>
                <w:szCs w:val="20"/>
                <w:lang w:eastAsia="ja-JP"/>
              </w:rPr>
            </w:pPr>
            <w:r>
              <w:rPr>
                <w:rFonts w:ascii="Times New Roman" w:eastAsiaTheme="minorEastAsia" w:hAnsi="Times New Roman" w:cs="Times New Roman"/>
                <w:b w:val="0"/>
                <w:sz w:val="20"/>
                <w:szCs w:val="20"/>
              </w:rPr>
              <w:t xml:space="preserve">For </w:t>
            </w:r>
            <w:r>
              <w:rPr>
                <w:rFonts w:ascii="Times New Roman" w:eastAsiaTheme="minorEastAsia" w:hAnsi="Times New Roman" w:cs="Times New Roman"/>
                <w:b w:val="0"/>
                <w:sz w:val="20"/>
                <w:szCs w:val="20"/>
              </w:rPr>
              <w:t xml:space="preserve">the </w:t>
            </w:r>
            <w:r>
              <w:rPr>
                <w:rFonts w:ascii="Times New Roman" w:eastAsiaTheme="minorEastAsia" w:hAnsi="Times New Roman" w:cs="Times New Roman"/>
                <w:b w:val="0"/>
                <w:sz w:val="20"/>
                <w:szCs w:val="20"/>
              </w:rPr>
              <w:t xml:space="preserve">commercial case, we prefer to have a single target. We are fine with the relaxation. </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For Rel-18 RedCap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RedCap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lastRenderedPageBreak/>
        <w:t>During RAN1#109e,  the latency requirements were discussed during the requirement discussion. The comments received  were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view on whether we should discuss further the latency requirements for positioning with RedCap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 xml:space="preserve">question 1.2- </w:t>
      </w:r>
      <w:r>
        <w:t xml:space="preserve"> in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45"/>
        <w:gridCol w:w="1058"/>
        <w:gridCol w:w="7175"/>
      </w:tblGrid>
      <w:tr w:rsidR="00656DF3" w14:paraId="6410CD50" w14:textId="77777777" w:rsidTr="00652492">
        <w:tc>
          <w:tcPr>
            <w:tcW w:w="1445"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58"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175"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2492">
        <w:tc>
          <w:tcPr>
            <w:tcW w:w="1445"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58"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175"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2492">
        <w:tc>
          <w:tcPr>
            <w:tcW w:w="1445"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58"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175"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2492">
        <w:tc>
          <w:tcPr>
            <w:tcW w:w="1445"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58"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175"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2492">
        <w:tc>
          <w:tcPr>
            <w:tcW w:w="1445"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58"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175"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2492">
        <w:tc>
          <w:tcPr>
            <w:tcW w:w="1445"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58"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175"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r w:rsidR="00652492" w14:paraId="27DC113E" w14:textId="77777777" w:rsidTr="00652492">
        <w:tc>
          <w:tcPr>
            <w:tcW w:w="1445" w:type="dxa"/>
          </w:tcPr>
          <w:p w14:paraId="66776076"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1058" w:type="dxa"/>
          </w:tcPr>
          <w:p w14:paraId="0CBC8F99" w14:textId="77777777" w:rsidR="00652492" w:rsidRPr="009629B2" w:rsidRDefault="00652492" w:rsidP="002D4CF9">
            <w:pPr>
              <w:pStyle w:val="3GPPAgreements"/>
              <w:numPr>
                <w:ilvl w:val="0"/>
                <w:numId w:val="0"/>
              </w:numPr>
              <w:rPr>
                <w:rFonts w:eastAsiaTheme="minorEastAsia"/>
              </w:rPr>
            </w:pPr>
            <w:r>
              <w:rPr>
                <w:rFonts w:eastAsiaTheme="minorEastAsia"/>
                <w:sz w:val="20"/>
              </w:rPr>
              <w:t>No</w:t>
            </w:r>
          </w:p>
        </w:tc>
        <w:tc>
          <w:tcPr>
            <w:tcW w:w="7175" w:type="dxa"/>
          </w:tcPr>
          <w:p w14:paraId="38DD964E" w14:textId="77777777" w:rsidR="00652492" w:rsidRDefault="00652492" w:rsidP="002D4CF9">
            <w:pPr>
              <w:pStyle w:val="3GPPAgreements"/>
              <w:numPr>
                <w:ilvl w:val="0"/>
                <w:numId w:val="0"/>
              </w:numPr>
              <w:rPr>
                <w:rFonts w:eastAsiaTheme="minorEastAsia"/>
                <w:sz w:val="20"/>
              </w:rPr>
            </w:pPr>
          </w:p>
        </w:tc>
      </w:tr>
      <w:tr w:rsidR="00E84100" w14:paraId="5A9A7958" w14:textId="77777777" w:rsidTr="00652492">
        <w:tc>
          <w:tcPr>
            <w:tcW w:w="1445" w:type="dxa"/>
          </w:tcPr>
          <w:p w14:paraId="7154E2DD" w14:textId="65B0FF42" w:rsidR="00E84100" w:rsidRPr="00E84100" w:rsidRDefault="00E84100" w:rsidP="002D4CF9">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 xml:space="preserve">TT DOCOMO </w:t>
            </w:r>
          </w:p>
        </w:tc>
        <w:tc>
          <w:tcPr>
            <w:tcW w:w="1058" w:type="dxa"/>
          </w:tcPr>
          <w:p w14:paraId="60903377" w14:textId="1B445ABC"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o</w:t>
            </w:r>
          </w:p>
        </w:tc>
        <w:tc>
          <w:tcPr>
            <w:tcW w:w="7175" w:type="dxa"/>
          </w:tcPr>
          <w:p w14:paraId="17134DC0" w14:textId="2271545B"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L</w:t>
            </w:r>
            <w:r>
              <w:rPr>
                <w:rFonts w:eastAsia="MS Mincho"/>
                <w:sz w:val="20"/>
                <w:lang w:eastAsia="ja-JP"/>
              </w:rPr>
              <w:t>ow priority</w:t>
            </w:r>
          </w:p>
        </w:tc>
      </w:tr>
      <w:tr w:rsidR="00C10C67" w14:paraId="4A22B39C" w14:textId="77777777" w:rsidTr="00652492">
        <w:tc>
          <w:tcPr>
            <w:tcW w:w="1445" w:type="dxa"/>
          </w:tcPr>
          <w:p w14:paraId="397E5CD6" w14:textId="777DA352" w:rsidR="00C10C67" w:rsidRDefault="00C10C67" w:rsidP="002D4CF9">
            <w:pPr>
              <w:pStyle w:val="3GPPAgreements"/>
              <w:numPr>
                <w:ilvl w:val="0"/>
                <w:numId w:val="0"/>
              </w:numPr>
              <w:rPr>
                <w:rFonts w:eastAsia="MS Mincho"/>
                <w:sz w:val="20"/>
                <w:lang w:val="en-GB" w:eastAsia="ja-JP"/>
              </w:rPr>
            </w:pPr>
            <w:r>
              <w:rPr>
                <w:rFonts w:eastAsia="MS Mincho"/>
                <w:sz w:val="20"/>
                <w:lang w:val="en-GB" w:eastAsia="ja-JP"/>
              </w:rPr>
              <w:t>OPPO</w:t>
            </w:r>
          </w:p>
        </w:tc>
        <w:tc>
          <w:tcPr>
            <w:tcW w:w="1058" w:type="dxa"/>
          </w:tcPr>
          <w:p w14:paraId="3FBC5662" w14:textId="6562345D" w:rsidR="00C10C67" w:rsidRDefault="00C10C67" w:rsidP="002D4CF9">
            <w:pPr>
              <w:pStyle w:val="3GPPAgreements"/>
              <w:numPr>
                <w:ilvl w:val="0"/>
                <w:numId w:val="0"/>
              </w:numPr>
              <w:rPr>
                <w:rFonts w:eastAsia="MS Mincho"/>
                <w:sz w:val="20"/>
                <w:lang w:eastAsia="ja-JP"/>
              </w:rPr>
            </w:pPr>
            <w:r>
              <w:rPr>
                <w:rFonts w:eastAsia="MS Mincho"/>
                <w:sz w:val="20"/>
                <w:lang w:eastAsia="ja-JP"/>
              </w:rPr>
              <w:t>No</w:t>
            </w:r>
          </w:p>
        </w:tc>
        <w:tc>
          <w:tcPr>
            <w:tcW w:w="7175" w:type="dxa"/>
          </w:tcPr>
          <w:p w14:paraId="374AC2DF" w14:textId="607B25CF" w:rsidR="00C10C67" w:rsidRDefault="00C10C67" w:rsidP="002D4CF9">
            <w:pPr>
              <w:pStyle w:val="3GPPAgreements"/>
              <w:numPr>
                <w:ilvl w:val="0"/>
                <w:numId w:val="0"/>
              </w:numPr>
              <w:rPr>
                <w:rFonts w:eastAsia="MS Mincho"/>
                <w:sz w:val="20"/>
                <w:lang w:eastAsia="ja-JP"/>
              </w:rPr>
            </w:pPr>
            <w:r>
              <w:rPr>
                <w:rFonts w:eastAsia="MS Mincho" w:hint="eastAsia"/>
                <w:sz w:val="20"/>
                <w:lang w:eastAsia="ja-JP"/>
              </w:rPr>
              <w:t>L</w:t>
            </w:r>
            <w:r>
              <w:rPr>
                <w:rFonts w:eastAsia="MS Mincho"/>
                <w:sz w:val="20"/>
                <w:lang w:eastAsia="ja-JP"/>
              </w:rPr>
              <w:t>ow priority</w:t>
            </w:r>
          </w:p>
        </w:tc>
      </w:tr>
      <w:tr w:rsidR="00407246" w14:paraId="27373FBC" w14:textId="77777777" w:rsidTr="00652492">
        <w:tc>
          <w:tcPr>
            <w:tcW w:w="1445" w:type="dxa"/>
          </w:tcPr>
          <w:p w14:paraId="28EC5887" w14:textId="4B8345A1" w:rsidR="00407246" w:rsidRDefault="00407246" w:rsidP="00407246">
            <w:pPr>
              <w:pStyle w:val="3GPPAgreements"/>
              <w:numPr>
                <w:ilvl w:val="0"/>
                <w:numId w:val="0"/>
              </w:numPr>
              <w:rPr>
                <w:rFonts w:eastAsia="MS Mincho"/>
                <w:sz w:val="20"/>
                <w:lang w:val="en-GB" w:eastAsia="ja-JP"/>
              </w:rPr>
            </w:pPr>
            <w:r>
              <w:rPr>
                <w:rFonts w:eastAsia="MS Mincho"/>
                <w:sz w:val="20"/>
                <w:lang w:val="en-GB" w:eastAsia="ja-JP"/>
              </w:rPr>
              <w:t>Apple</w:t>
            </w:r>
          </w:p>
        </w:tc>
        <w:tc>
          <w:tcPr>
            <w:tcW w:w="1058" w:type="dxa"/>
          </w:tcPr>
          <w:p w14:paraId="0E0CF8BB" w14:textId="061316F2" w:rsidR="00407246" w:rsidRDefault="00407246" w:rsidP="00407246">
            <w:pPr>
              <w:pStyle w:val="3GPPAgreements"/>
              <w:numPr>
                <w:ilvl w:val="0"/>
                <w:numId w:val="0"/>
              </w:numPr>
              <w:rPr>
                <w:rFonts w:eastAsia="MS Mincho"/>
                <w:sz w:val="20"/>
                <w:lang w:eastAsia="ja-JP"/>
              </w:rPr>
            </w:pPr>
            <w:r>
              <w:rPr>
                <w:rFonts w:eastAsia="MS Mincho"/>
                <w:sz w:val="20"/>
                <w:lang w:eastAsia="ja-JP"/>
              </w:rPr>
              <w:t>No</w:t>
            </w:r>
          </w:p>
        </w:tc>
        <w:tc>
          <w:tcPr>
            <w:tcW w:w="7175" w:type="dxa"/>
          </w:tcPr>
          <w:p w14:paraId="22AECE90" w14:textId="77777777" w:rsidR="00407246" w:rsidRDefault="00407246" w:rsidP="00407246">
            <w:pPr>
              <w:pStyle w:val="3GPPAgreements"/>
              <w:numPr>
                <w:ilvl w:val="0"/>
                <w:numId w:val="0"/>
              </w:numPr>
              <w:rPr>
                <w:rFonts w:eastAsia="MS Mincho" w:hint="eastAsia"/>
                <w:sz w:val="20"/>
                <w:lang w:eastAsia="ja-JP"/>
              </w:rPr>
            </w:pP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evaluations,  we propose to re-use the methodology from rel17 and capture the results for UEs in the </w:t>
      </w:r>
      <w:proofErr w:type="gramStart"/>
      <w:r>
        <w:rPr>
          <w:lang w:val="en-GB"/>
        </w:rPr>
        <w:t>so called</w:t>
      </w:r>
      <w:proofErr w:type="gramEnd"/>
      <w:r>
        <w:rPr>
          <w:lang w:val="en-GB"/>
        </w:rPr>
        <w:t xml:space="preserve">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CDF values for evaluations of Redcap Positioning  scenarios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lastRenderedPageBreak/>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2.1-1  in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652492">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652492">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652492">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652492">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652492">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652492">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r w:rsidR="00652492" w14:paraId="5867181D" w14:textId="77777777" w:rsidTr="00652492">
        <w:tc>
          <w:tcPr>
            <w:tcW w:w="1454" w:type="dxa"/>
          </w:tcPr>
          <w:p w14:paraId="3CFBB02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1EA26E1D"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C55024" w:rsidRPr="003D4DE9" w14:paraId="3715706E" w14:textId="77777777" w:rsidTr="002D4CF9">
        <w:tc>
          <w:tcPr>
            <w:tcW w:w="1454" w:type="dxa"/>
          </w:tcPr>
          <w:p w14:paraId="65D0702B"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86C2007"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C10C67" w:rsidRPr="003D4DE9" w14:paraId="45C4D266" w14:textId="77777777" w:rsidTr="002D4CF9">
        <w:tc>
          <w:tcPr>
            <w:tcW w:w="1454" w:type="dxa"/>
          </w:tcPr>
          <w:p w14:paraId="29D21152" w14:textId="20DAAA28" w:rsidR="00C10C67" w:rsidRDefault="00C10C67" w:rsidP="002D4CF9">
            <w:pPr>
              <w:pStyle w:val="3GPPAgreements"/>
              <w:numPr>
                <w:ilvl w:val="0"/>
                <w:numId w:val="0"/>
              </w:numPr>
              <w:rPr>
                <w:rFonts w:eastAsia="MS Mincho"/>
                <w:lang w:eastAsia="ja-JP"/>
              </w:rPr>
            </w:pPr>
            <w:r>
              <w:rPr>
                <w:rFonts w:eastAsia="MS Mincho"/>
                <w:lang w:eastAsia="ja-JP"/>
              </w:rPr>
              <w:t>OPPO</w:t>
            </w:r>
          </w:p>
        </w:tc>
        <w:tc>
          <w:tcPr>
            <w:tcW w:w="7386" w:type="dxa"/>
          </w:tcPr>
          <w:p w14:paraId="7AEF34AD" w14:textId="21520AE3" w:rsidR="00C10C67" w:rsidRDefault="00C10C67" w:rsidP="002D4CF9">
            <w:pPr>
              <w:pStyle w:val="3GPPAgreements"/>
              <w:numPr>
                <w:ilvl w:val="0"/>
                <w:numId w:val="0"/>
              </w:numPr>
              <w:rPr>
                <w:rFonts w:eastAsia="MS Mincho"/>
                <w:lang w:eastAsia="ja-JP"/>
              </w:rPr>
            </w:pPr>
            <w:r>
              <w:rPr>
                <w:rFonts w:eastAsia="MS Mincho"/>
                <w:lang w:eastAsia="ja-JP"/>
              </w:rPr>
              <w:t>Okay</w:t>
            </w:r>
          </w:p>
        </w:tc>
      </w:tr>
      <w:tr w:rsidR="00407246" w:rsidRPr="003D4DE9" w14:paraId="59D58A61" w14:textId="77777777" w:rsidTr="002D4CF9">
        <w:tc>
          <w:tcPr>
            <w:tcW w:w="1454" w:type="dxa"/>
          </w:tcPr>
          <w:p w14:paraId="4A7CBA61" w14:textId="24F9C3E6" w:rsidR="00407246" w:rsidRDefault="00407246" w:rsidP="00407246">
            <w:pPr>
              <w:pStyle w:val="3GPPAgreements"/>
              <w:numPr>
                <w:ilvl w:val="0"/>
                <w:numId w:val="0"/>
              </w:numPr>
              <w:rPr>
                <w:rFonts w:eastAsia="MS Mincho"/>
                <w:lang w:eastAsia="ja-JP"/>
              </w:rPr>
            </w:pPr>
            <w:r>
              <w:rPr>
                <w:rFonts w:eastAsia="MS Mincho"/>
                <w:lang w:eastAsia="ja-JP"/>
              </w:rPr>
              <w:t>Apple</w:t>
            </w:r>
          </w:p>
        </w:tc>
        <w:tc>
          <w:tcPr>
            <w:tcW w:w="7386" w:type="dxa"/>
          </w:tcPr>
          <w:p w14:paraId="2E06E6EB" w14:textId="1CDD19C9" w:rsidR="00407246" w:rsidRDefault="00407246" w:rsidP="00407246">
            <w:pPr>
              <w:pStyle w:val="3GPPAgreements"/>
              <w:numPr>
                <w:ilvl w:val="0"/>
                <w:numId w:val="0"/>
              </w:numPr>
              <w:rPr>
                <w:rFonts w:eastAsia="MS Mincho"/>
                <w:lang w:eastAsia="ja-JP"/>
              </w:rPr>
            </w:pPr>
            <w:r>
              <w:rPr>
                <w:rFonts w:eastAsia="MS Mincho"/>
                <w:lang w:eastAsia="ja-JP"/>
              </w:rPr>
              <w:t>OK</w:t>
            </w:r>
          </w:p>
        </w:tc>
      </w:tr>
    </w:tbl>
    <w:p w14:paraId="5BFCB314" w14:textId="377AC780" w:rsidR="006A0B13" w:rsidRDefault="006A0B13" w:rsidP="006A0B13">
      <w:pPr>
        <w:pStyle w:val="3GPPText"/>
      </w:pP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SimSun"/>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SimSun"/>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SimSun"/>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SimSun"/>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SimSun"/>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w:t>
            </w:r>
          </w:p>
          <w:p w14:paraId="1B8071E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SimSun"/>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SimSun"/>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SimSun"/>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SimSun"/>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SimSun"/>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SimSun"/>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SimSun"/>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1FCA5E9" w14:textId="77777777" w:rsidR="0041546B" w:rsidRDefault="0041546B" w:rsidP="008A4449">
            <w:pPr>
              <w:pStyle w:val="TAC"/>
              <w:rPr>
                <w:rStyle w:val="TALCar"/>
                <w:rFonts w:eastAsia="SimSun"/>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SimSun"/>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SimSun"/>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SimSun"/>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SimSun"/>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SimSun"/>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SimSun"/>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SimSun"/>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SimSun"/>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SimSun"/>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parameters  </w:t>
      </w:r>
      <w:r w:rsidR="006B4E8C">
        <w:rPr>
          <w:rFonts w:ascii="Times" w:eastAsia="Batang" w:hAnsi="Times"/>
          <w:b/>
          <w:bCs/>
          <w:szCs w:val="24"/>
        </w:rPr>
        <w:t xml:space="preserve">in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SimSun"/>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SimSun"/>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SimSun"/>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SimSun"/>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SimSun"/>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w:t>
            </w:r>
          </w:p>
          <w:p w14:paraId="369ED54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SimSun"/>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SimSun"/>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SimSun"/>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SimSun"/>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SimSun"/>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SimSun"/>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SimSun"/>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5D1D0AF" w14:textId="77777777" w:rsidR="00FC3A0D" w:rsidRDefault="00FC3A0D" w:rsidP="008A4449">
            <w:pPr>
              <w:pStyle w:val="TAC"/>
              <w:rPr>
                <w:rStyle w:val="TALCar"/>
                <w:rFonts w:eastAsia="SimSun"/>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SimSun"/>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SimSun"/>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SimSun"/>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SimSun"/>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SimSun"/>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SimSun"/>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SimSun"/>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SimSun"/>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SimSun"/>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652492">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652492">
        <w:tc>
          <w:tcPr>
            <w:tcW w:w="1454" w:type="dxa"/>
          </w:tcPr>
          <w:p w14:paraId="5BED60F8" w14:textId="77777777" w:rsidR="00B03DE1" w:rsidRPr="00664B33" w:rsidRDefault="00B03DE1" w:rsidP="002D4CF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lastRenderedPageBreak/>
              <w:t>PRS Bandwidth</w:t>
            </w:r>
          </w:p>
          <w:p w14:paraId="0FC3D5E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gNB</w:t>
            </w:r>
            <w:r w:rsidRPr="00B03DE1">
              <w:rPr>
                <w:rStyle w:val="TALCar"/>
                <w:rFonts w:eastAsia="SimSun"/>
                <w:sz w:val="16"/>
                <w:szCs w:val="16"/>
                <w:lang w:val="en-US"/>
              </w:rPr>
              <w:t xml:space="preserve"> antenna configuration</w:t>
            </w:r>
            <w:r w:rsidRPr="00B03DE1">
              <w:rPr>
                <w:rStyle w:val="TALCar"/>
                <w:rFonts w:eastAsia="SimSun"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652492">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Evaluate positioning performance of existing positioning procedures and measurements with RedCap UEs</w:t>
            </w:r>
          </w:p>
        </w:tc>
      </w:tr>
      <w:tr w:rsidR="005E1193" w14:paraId="37AA1479" w14:textId="77777777" w:rsidTr="00652492">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652492">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652492">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r w:rsidR="00652492" w:rsidRPr="005615FA" w14:paraId="72A8CE1D" w14:textId="77777777" w:rsidTr="00652492">
        <w:tc>
          <w:tcPr>
            <w:tcW w:w="1454" w:type="dxa"/>
          </w:tcPr>
          <w:p w14:paraId="66449BB2"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7115F6C5" w14:textId="77777777" w:rsidR="00652492" w:rsidRPr="005615FA" w:rsidRDefault="00652492" w:rsidP="002D4CF9">
            <w:pPr>
              <w:pStyle w:val="3GPPAgreements"/>
              <w:numPr>
                <w:ilvl w:val="0"/>
                <w:numId w:val="0"/>
              </w:numPr>
              <w:rPr>
                <w:rFonts w:eastAsiaTheme="minorEastAsia"/>
              </w:rPr>
            </w:pPr>
            <w:r>
              <w:rPr>
                <w:rFonts w:eastAsiaTheme="minorEastAsia" w:hint="eastAsia"/>
                <w:sz w:val="20"/>
              </w:rPr>
              <w:t>O</w:t>
            </w:r>
            <w:r>
              <w:rPr>
                <w:rFonts w:eastAsiaTheme="minorEastAsia"/>
                <w:sz w:val="20"/>
              </w:rPr>
              <w:t>K</w:t>
            </w:r>
          </w:p>
        </w:tc>
      </w:tr>
      <w:tr w:rsidR="00C10C67" w:rsidRPr="005615FA" w14:paraId="5CB15AB4" w14:textId="77777777" w:rsidTr="00652492">
        <w:tc>
          <w:tcPr>
            <w:tcW w:w="1454" w:type="dxa"/>
          </w:tcPr>
          <w:p w14:paraId="1B31C1F3" w14:textId="48A4AF6E" w:rsidR="00C10C67" w:rsidRDefault="00C10C67" w:rsidP="002D4CF9">
            <w:pPr>
              <w:pStyle w:val="3GPPAgreements"/>
              <w:numPr>
                <w:ilvl w:val="0"/>
                <w:numId w:val="0"/>
              </w:numPr>
              <w:rPr>
                <w:rFonts w:eastAsiaTheme="minorEastAsia"/>
                <w:sz w:val="20"/>
                <w:lang w:val="en-GB"/>
              </w:rPr>
            </w:pPr>
            <w:r>
              <w:rPr>
                <w:rFonts w:eastAsiaTheme="minorEastAsia"/>
                <w:sz w:val="20"/>
                <w:lang w:val="en-GB"/>
              </w:rPr>
              <w:t>OPPO</w:t>
            </w:r>
          </w:p>
        </w:tc>
        <w:tc>
          <w:tcPr>
            <w:tcW w:w="7386" w:type="dxa"/>
          </w:tcPr>
          <w:p w14:paraId="5EEA46F7" w14:textId="7E60AE59" w:rsidR="00C10C67" w:rsidRDefault="00C10C67" w:rsidP="002D4CF9">
            <w:pPr>
              <w:pStyle w:val="3GPPAgreements"/>
              <w:numPr>
                <w:ilvl w:val="0"/>
                <w:numId w:val="0"/>
              </w:numPr>
              <w:rPr>
                <w:rFonts w:eastAsiaTheme="minorEastAsia"/>
                <w:sz w:val="20"/>
              </w:rPr>
            </w:pPr>
            <w:r>
              <w:rPr>
                <w:rFonts w:eastAsiaTheme="minorEastAsia"/>
                <w:sz w:val="20"/>
              </w:rPr>
              <w:t>Okay</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652492">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652492">
        <w:tc>
          <w:tcPr>
            <w:tcW w:w="1454" w:type="dxa"/>
          </w:tcPr>
          <w:p w14:paraId="3D20000D" w14:textId="77777777" w:rsidR="00E334D4" w:rsidRPr="00664B33" w:rsidRDefault="00E334D4"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652492">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r w:rsidR="00652492" w:rsidRPr="00664B33" w14:paraId="05AA7FB3" w14:textId="77777777" w:rsidTr="00652492">
        <w:tc>
          <w:tcPr>
            <w:tcW w:w="1454" w:type="dxa"/>
          </w:tcPr>
          <w:p w14:paraId="6CB126FD"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lang w:val="en-GB"/>
              </w:rPr>
              <w:lastRenderedPageBreak/>
              <w:t>H</w:t>
            </w:r>
            <w:r>
              <w:rPr>
                <w:rFonts w:eastAsiaTheme="minorEastAsia"/>
                <w:sz w:val="20"/>
                <w:lang w:val="en-GB"/>
              </w:rPr>
              <w:t>uawei, HiSilicon</w:t>
            </w:r>
          </w:p>
        </w:tc>
        <w:tc>
          <w:tcPr>
            <w:tcW w:w="7386" w:type="dxa"/>
          </w:tcPr>
          <w:p w14:paraId="6331B99C"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407246" w:rsidRPr="00664B33" w14:paraId="274E1912" w14:textId="77777777" w:rsidTr="00652492">
        <w:tc>
          <w:tcPr>
            <w:tcW w:w="1454" w:type="dxa"/>
          </w:tcPr>
          <w:p w14:paraId="2A1AF0D6" w14:textId="41837245" w:rsidR="00407246" w:rsidRDefault="00407246" w:rsidP="00407246">
            <w:pPr>
              <w:pStyle w:val="3GPPAgreements"/>
              <w:numPr>
                <w:ilvl w:val="0"/>
                <w:numId w:val="0"/>
              </w:numPr>
              <w:rPr>
                <w:rFonts w:eastAsiaTheme="minorEastAsia" w:hint="eastAsia"/>
                <w:sz w:val="20"/>
                <w:lang w:val="en-GB"/>
              </w:rPr>
            </w:pPr>
            <w:r>
              <w:rPr>
                <w:rFonts w:eastAsiaTheme="minorEastAsia"/>
                <w:sz w:val="20"/>
                <w:lang w:val="en-GB"/>
              </w:rPr>
              <w:t>Apple</w:t>
            </w:r>
          </w:p>
        </w:tc>
        <w:tc>
          <w:tcPr>
            <w:tcW w:w="7386" w:type="dxa"/>
          </w:tcPr>
          <w:p w14:paraId="6696191B" w14:textId="6BBEB799" w:rsidR="00407246" w:rsidRDefault="00407246" w:rsidP="00407246">
            <w:pPr>
              <w:pStyle w:val="3GPPAgreements"/>
              <w:numPr>
                <w:ilvl w:val="0"/>
                <w:numId w:val="0"/>
              </w:numPr>
              <w:rPr>
                <w:rFonts w:eastAsiaTheme="minorEastAsia" w:hint="eastAsia"/>
                <w:sz w:val="20"/>
              </w:rPr>
            </w:pPr>
            <w:r>
              <w:rPr>
                <w:rFonts w:eastAsiaTheme="minorEastAsia"/>
                <w:sz w:val="20"/>
              </w:rPr>
              <w:t>OK with template</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SimSun"/>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lastRenderedPageBreak/>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r>
        <w:rPr>
          <w:b/>
          <w:bCs/>
        </w:rPr>
        <w:t xml:space="preserve">Question </w:t>
      </w:r>
      <w:r w:rsidR="0005260F" w:rsidRPr="00F32A43">
        <w:rPr>
          <w:b/>
          <w:bCs/>
        </w:rPr>
        <w:t xml:space="preserve"> 2.</w:t>
      </w:r>
      <w:r w:rsidR="00F70EA9">
        <w:rPr>
          <w:b/>
          <w:bCs/>
        </w:rPr>
        <w:t>4</w:t>
      </w:r>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-1  in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2D4CF9">
        <w:tc>
          <w:tcPr>
            <w:tcW w:w="1454" w:type="dxa"/>
          </w:tcPr>
          <w:p w14:paraId="011C12E5" w14:textId="77777777" w:rsidR="00F3518B" w:rsidRPr="00664B33" w:rsidRDefault="00F3518B"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2D4CF9">
        <w:tc>
          <w:tcPr>
            <w:tcW w:w="1454" w:type="dxa"/>
          </w:tcPr>
          <w:p w14:paraId="05285222" w14:textId="3DDBB4D6" w:rsidR="00AB77EC" w:rsidRDefault="00AB77EC"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2D4CF9">
        <w:tc>
          <w:tcPr>
            <w:tcW w:w="1454" w:type="dxa"/>
          </w:tcPr>
          <w:p w14:paraId="1EFD7F42" w14:textId="7AC727E4" w:rsidR="00640F67" w:rsidRDefault="00640F67"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r w:rsidR="00C55024" w:rsidRPr="003D4DE9" w14:paraId="277D7EA6" w14:textId="77777777" w:rsidTr="002D4CF9">
        <w:tc>
          <w:tcPr>
            <w:tcW w:w="1454" w:type="dxa"/>
          </w:tcPr>
          <w:p w14:paraId="7F4E0B9D" w14:textId="77777777" w:rsidR="00C55024" w:rsidRPr="003D4DE9" w:rsidRDefault="00C5502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70207EBE" w14:textId="0D9AAA2F" w:rsidR="00C55024" w:rsidRPr="001137ED" w:rsidRDefault="00C55024" w:rsidP="002D4CF9">
            <w:pPr>
              <w:pStyle w:val="3GPPAgreements"/>
              <w:numPr>
                <w:ilvl w:val="0"/>
                <w:numId w:val="0"/>
              </w:numPr>
              <w:rPr>
                <w:rFonts w:eastAsia="MS Mincho"/>
                <w:sz w:val="20"/>
                <w:lang w:eastAsia="ja-JP"/>
              </w:rPr>
            </w:pPr>
            <w:r w:rsidRPr="001137ED">
              <w:rPr>
                <w:rFonts w:eastAsia="MS Mincho"/>
                <w:sz w:val="20"/>
                <w:lang w:eastAsia="ja-JP"/>
              </w:rPr>
              <w:t>TR 38.901, TR 38.802, and/or TR 38.830</w:t>
            </w:r>
            <w:r>
              <w:rPr>
                <w:rFonts w:eastAsia="MS Mincho"/>
                <w:sz w:val="20"/>
                <w:lang w:eastAsia="ja-JP"/>
              </w:rPr>
              <w:t xml:space="preserve"> can be reused</w:t>
            </w:r>
            <w:r w:rsidR="00680F14">
              <w:rPr>
                <w:rFonts w:eastAsia="MS Mincho"/>
                <w:sz w:val="20"/>
                <w:lang w:eastAsia="ja-JP"/>
              </w:rPr>
              <w:t>, but more evaluations from companies are welcome.</w:t>
            </w:r>
          </w:p>
          <w:p w14:paraId="29AB30D7" w14:textId="297C0A25" w:rsidR="00C55024" w:rsidRPr="003D4DE9" w:rsidRDefault="00C55024" w:rsidP="002D4CF9">
            <w:pPr>
              <w:pStyle w:val="3GPPAgreements"/>
              <w:numPr>
                <w:ilvl w:val="0"/>
                <w:numId w:val="0"/>
              </w:numPr>
              <w:rPr>
                <w:rFonts w:eastAsia="MS Mincho"/>
                <w:sz w:val="20"/>
                <w:lang w:eastAsia="ja-JP"/>
              </w:rPr>
            </w:pPr>
            <w:r>
              <w:rPr>
                <w:rFonts w:eastAsia="MS Mincho"/>
                <w:sz w:val="20"/>
                <w:lang w:eastAsia="ja-JP"/>
              </w:rPr>
              <w:t xml:space="preserve">For Option 1, we made a typo: </w:t>
            </w:r>
            <w:r w:rsidRPr="00790A20">
              <w:t>ISD =</w:t>
            </w:r>
            <w:r w:rsidRPr="003D4DE9">
              <w:rPr>
                <w:strike/>
                <w:color w:val="FF0000"/>
              </w:rPr>
              <w:t xml:space="preserve"> 1730m</w:t>
            </w:r>
            <w:r>
              <w:t>1732m or 5000m.</w:t>
            </w:r>
          </w:p>
        </w:tc>
      </w:tr>
    </w:tbl>
    <w:p w14:paraId="6139EBF9" w14:textId="392C5949" w:rsidR="0005260F" w:rsidRPr="00C55024" w:rsidRDefault="0005260F" w:rsidP="0005260F">
      <w:pPr>
        <w:pStyle w:val="3GPPText"/>
        <w:rPr>
          <w:lang w:val="en-GB"/>
        </w:rPr>
      </w:pP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t>Aspect 3 – Enhancements for positioning of RedCap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solutions to overcome the limited bandwidth of the RedCap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lastRenderedPageBreak/>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non-RedCap</w:t>
      </w:r>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Impact of RedCap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RedCap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r w:rsidRPr="004F55B6">
              <w:rPr>
                <w:b/>
                <w:i/>
              </w:rPr>
              <w:t>RedCap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r w:rsidRPr="004F55B6">
              <w:rPr>
                <w:b/>
                <w:i/>
              </w:rPr>
              <w:t>RedCap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Consider at least RS frequency hopping for positioning for RedCap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SimSun"/>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For power saving, positioning impacted by CDRX should be considered for RedCap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change(e.g., short-long DRX cycle transition due to </w:t>
            </w:r>
            <w:proofErr w:type="spellStart"/>
            <w:r w:rsidRPr="004501E4">
              <w:rPr>
                <w:rFonts w:eastAsia="STFangsong"/>
                <w:b/>
                <w:i/>
                <w:kern w:val="24"/>
              </w:rPr>
              <w:t>drx-ShortCycleTimer</w:t>
            </w:r>
            <w:proofErr w:type="spellEnd"/>
            <w:r w:rsidRPr="004501E4">
              <w:rPr>
                <w:rFonts w:eastAsia="STFangsong"/>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The following aspects can be considered for RedCap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lastRenderedPageBreak/>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lastRenderedPageBreak/>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RedCap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Proposal 3: For NR RedCap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RedCap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RedCap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RedCap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for the UL-SRS and DL-PRS signal transmission to enhance the timing-based estimates of the DL-TDOA, UL-TDOA, and Multi-RTT positioning methods for the RedCap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study super resolution MUSIC-like methods for performance improvement of the DL-TDOA, UL-TDOA, and Multi-RTT positioning methods for RedCap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lastRenderedPageBreak/>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RedCap UEs, study carrier phase measurements-based positioning techniques for positioning performance improvement for RedCap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lastRenderedPageBreak/>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Proposal 1: Study enhancements related to frequency hopping for DL-PRS to improve positioning accuracy for RedCap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r w:rsidRPr="00B207CA">
              <w:rPr>
                <w:i/>
                <w:iCs/>
                <w:lang w:eastAsia="zh-CN"/>
              </w:rPr>
              <w:t xml:space="preserve">RedCap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lastRenderedPageBreak/>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lastRenderedPageBreak/>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2: Discuss time/frequency domain enhancement (e.g., BWP hopping/switching and burst transmission of SRS for positioning) to compensate performance degradation of RedCap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enhancements for RedCap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RedCap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PRS frequency hopping is one of the potential methods to improve the positioning accuracy of DL-TDOA positioning for RedCap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lastRenderedPageBreak/>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1-1a/b</w:t>
      </w:r>
      <w:r>
        <w:t xml:space="preserve">  in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336BD4">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336BD4">
        <w:tc>
          <w:tcPr>
            <w:tcW w:w="1454" w:type="dxa"/>
          </w:tcPr>
          <w:p w14:paraId="5DC838DF" w14:textId="77777777" w:rsidR="008E5A33" w:rsidRPr="00664B33" w:rsidRDefault="008E5A33"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2D4CF9">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2D4CF9">
            <w:pPr>
              <w:pStyle w:val="3GPPAgreements"/>
              <w:numPr>
                <w:ilvl w:val="0"/>
                <w:numId w:val="0"/>
              </w:numPr>
              <w:rPr>
                <w:rFonts w:eastAsiaTheme="minorEastAsia"/>
                <w:sz w:val="20"/>
                <w:lang w:val="en-GB"/>
              </w:rPr>
            </w:pPr>
          </w:p>
        </w:tc>
      </w:tr>
      <w:tr w:rsidR="00415F87" w14:paraId="77FD2EDE" w14:textId="77777777" w:rsidTr="00336BD4">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RedCap UE to have higher capabilities, which may exceed the ‘reduced capability’ of UE. For example, for DL frequency hopping, the RedCap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336BD4">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336BD4">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336BD4">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w:t>
            </w:r>
            <w:r>
              <w:rPr>
                <w:rFonts w:ascii="Times New Roman" w:eastAsiaTheme="minorEastAsia" w:hAnsi="Times New Roman" w:cs="Times New Roman"/>
                <w:b w:val="0"/>
              </w:rPr>
              <w:lastRenderedPageBreak/>
              <w:t>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336BD4">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lastRenderedPageBreak/>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r w:rsidR="00652492" w:rsidRPr="009629B2" w14:paraId="024374FD" w14:textId="77777777" w:rsidTr="00336BD4">
        <w:tc>
          <w:tcPr>
            <w:tcW w:w="1454" w:type="dxa"/>
          </w:tcPr>
          <w:p w14:paraId="78F6D67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308F3DD2" w14:textId="77777777" w:rsidR="00652492" w:rsidRPr="009629B2" w:rsidRDefault="00652492" w:rsidP="002D4CF9">
            <w:pPr>
              <w:pStyle w:val="Proposal"/>
              <w:numPr>
                <w:ilvl w:val="0"/>
                <w:numId w:val="0"/>
              </w:numPr>
              <w:rPr>
                <w:rFonts w:ascii="Times" w:eastAsiaTheme="minorEastAsia" w:hAnsi="Times" w:cs="Times"/>
                <w:b w:val="0"/>
              </w:rPr>
            </w:pPr>
            <w:r w:rsidRPr="009629B2">
              <w:rPr>
                <w:rFonts w:ascii="Times" w:eastAsiaTheme="minorEastAsia" w:hAnsi="Times" w:cs="Times"/>
                <w:b w:val="0"/>
                <w:sz w:val="20"/>
              </w:rPr>
              <w:t>OK</w:t>
            </w:r>
          </w:p>
        </w:tc>
      </w:tr>
      <w:tr w:rsidR="00336BD4" w14:paraId="640E4464" w14:textId="77777777" w:rsidTr="00336BD4">
        <w:tc>
          <w:tcPr>
            <w:tcW w:w="1454" w:type="dxa"/>
          </w:tcPr>
          <w:p w14:paraId="7ADBFBDA" w14:textId="77777777" w:rsidR="00336BD4" w:rsidRPr="001137ED" w:rsidRDefault="00336BD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459CCAF" w14:textId="60A8108C" w:rsidR="00336BD4" w:rsidRDefault="00336BD4"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OK</w:t>
            </w:r>
          </w:p>
        </w:tc>
      </w:tr>
      <w:tr w:rsidR="003477D1" w14:paraId="4B433442" w14:textId="77777777" w:rsidTr="00336BD4">
        <w:tc>
          <w:tcPr>
            <w:tcW w:w="1454" w:type="dxa"/>
          </w:tcPr>
          <w:p w14:paraId="04470B15" w14:textId="05A56603" w:rsidR="003477D1" w:rsidRDefault="003477D1" w:rsidP="002D4CF9">
            <w:pPr>
              <w:pStyle w:val="3GPPAgreements"/>
              <w:numPr>
                <w:ilvl w:val="0"/>
                <w:numId w:val="0"/>
              </w:numPr>
              <w:rPr>
                <w:rFonts w:eastAsia="MS Mincho"/>
                <w:lang w:eastAsia="ja-JP"/>
              </w:rPr>
            </w:pPr>
            <w:r>
              <w:rPr>
                <w:rFonts w:eastAsia="MS Mincho"/>
                <w:lang w:eastAsia="ja-JP"/>
              </w:rPr>
              <w:t>OPPO</w:t>
            </w:r>
          </w:p>
        </w:tc>
        <w:tc>
          <w:tcPr>
            <w:tcW w:w="7386" w:type="dxa"/>
          </w:tcPr>
          <w:p w14:paraId="721FBF51" w14:textId="77777777" w:rsidR="00841803" w:rsidRDefault="003477D1"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Support both</w:t>
            </w:r>
            <w:r w:rsidR="00841803">
              <w:t xml:space="preserve"> </w:t>
            </w:r>
            <w:r w:rsidR="00841803" w:rsidRPr="00841803">
              <w:rPr>
                <w:rFonts w:ascii="Times New Roman" w:eastAsiaTheme="minorEastAsia" w:hAnsi="Times New Roman" w:cs="Times New Roman"/>
                <w:b w:val="0"/>
              </w:rPr>
              <w:t>Proposal 3.1-1a</w:t>
            </w:r>
            <w:r w:rsidR="00841803">
              <w:rPr>
                <w:rFonts w:ascii="Times New Roman" w:eastAsiaTheme="minorEastAsia" w:hAnsi="Times New Roman" w:cs="Times New Roman"/>
                <w:b w:val="0"/>
              </w:rPr>
              <w:t xml:space="preserve"> and </w:t>
            </w:r>
            <w:r w:rsidR="00841803" w:rsidRPr="00841803">
              <w:rPr>
                <w:rFonts w:ascii="Times New Roman" w:eastAsiaTheme="minorEastAsia" w:hAnsi="Times New Roman" w:cs="Times New Roman"/>
                <w:b w:val="0"/>
              </w:rPr>
              <w:t>Proposal 3.1-1</w:t>
            </w:r>
            <w:r w:rsidR="00841803">
              <w:rPr>
                <w:rFonts w:ascii="Times New Roman" w:eastAsiaTheme="minorEastAsia" w:hAnsi="Times New Roman" w:cs="Times New Roman"/>
                <w:b w:val="0"/>
              </w:rPr>
              <w:t xml:space="preserve">b. </w:t>
            </w:r>
          </w:p>
          <w:p w14:paraId="3480C646" w14:textId="5EAAFBB2" w:rsidR="003477D1" w:rsidRDefault="00841803"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At current stage, it seems not necessary to trigger RAN4 to discuss the feasibility of frequency hopping for </w:t>
            </w:r>
            <w:proofErr w:type="spellStart"/>
            <w:r>
              <w:rPr>
                <w:rFonts w:ascii="Times New Roman" w:eastAsiaTheme="minorEastAsia" w:hAnsi="Times New Roman" w:cs="Times New Roman"/>
                <w:b w:val="0"/>
              </w:rPr>
              <w:t>RedCap</w:t>
            </w:r>
            <w:proofErr w:type="spellEnd"/>
            <w:r>
              <w:rPr>
                <w:rFonts w:ascii="Times New Roman" w:eastAsiaTheme="minorEastAsia" w:hAnsi="Times New Roman" w:cs="Times New Roman"/>
                <w:b w:val="0"/>
              </w:rPr>
              <w:t xml:space="preserve"> UE. </w:t>
            </w:r>
          </w:p>
        </w:tc>
      </w:tr>
      <w:tr w:rsidR="00407246" w14:paraId="2403D1C5" w14:textId="77777777" w:rsidTr="00336BD4">
        <w:tc>
          <w:tcPr>
            <w:tcW w:w="1454" w:type="dxa"/>
          </w:tcPr>
          <w:p w14:paraId="7AC8BCAE" w14:textId="56C4744D" w:rsidR="00407246" w:rsidRDefault="00407246" w:rsidP="00407246">
            <w:pPr>
              <w:pStyle w:val="3GPPAgreements"/>
              <w:numPr>
                <w:ilvl w:val="0"/>
                <w:numId w:val="0"/>
              </w:numPr>
              <w:rPr>
                <w:rFonts w:eastAsia="MS Mincho"/>
                <w:lang w:eastAsia="ja-JP"/>
              </w:rPr>
            </w:pPr>
            <w:r>
              <w:rPr>
                <w:rFonts w:eastAsiaTheme="minorEastAsia"/>
              </w:rPr>
              <w:t>Apple</w:t>
            </w:r>
          </w:p>
        </w:tc>
        <w:tc>
          <w:tcPr>
            <w:tcW w:w="7386" w:type="dxa"/>
          </w:tcPr>
          <w:p w14:paraId="01FB62A4" w14:textId="49AE8963" w:rsidR="00407246" w:rsidRDefault="00407246" w:rsidP="00407246">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Fine with proposal. For  </w:t>
            </w:r>
            <w:proofErr w:type="spellStart"/>
            <w:r>
              <w:rPr>
                <w:rFonts w:ascii="Times New Roman" w:eastAsiaTheme="minorEastAsia" w:hAnsi="Times New Roman" w:cs="Times New Roman"/>
                <w:b w:val="0"/>
              </w:rPr>
              <w:t>Poroposal</w:t>
            </w:r>
            <w:proofErr w:type="spellEnd"/>
            <w:r>
              <w:rPr>
                <w:rFonts w:ascii="Times New Roman" w:eastAsiaTheme="minorEastAsia" w:hAnsi="Times New Roman" w:cs="Times New Roman"/>
                <w:b w:val="0"/>
              </w:rPr>
              <w:t xml:space="preserve"> 3.1-1a, a discussion of configuration and associated signaling should be added. </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t>Group based SRS transmission</w:t>
      </w:r>
    </w:p>
    <w:p w14:paraId="3DA0A9CF" w14:textId="77777777" w:rsidR="00D02653" w:rsidRPr="009707B0" w:rsidRDefault="00D02653">
      <w:pPr>
        <w:pStyle w:val="ListParagraph"/>
        <w:numPr>
          <w:ilvl w:val="0"/>
          <w:numId w:val="33"/>
        </w:numPr>
        <w:rPr>
          <w:b/>
          <w:bCs/>
        </w:rPr>
      </w:pPr>
      <w:r w:rsidRPr="009707B0">
        <w:rPr>
          <w:b/>
          <w:bCs/>
        </w:rPr>
        <w:t>Carrier phase positioning for RedCap UEs</w:t>
      </w:r>
    </w:p>
    <w:p w14:paraId="579F3A85" w14:textId="77777777" w:rsidR="00D02653" w:rsidRPr="009707B0" w:rsidRDefault="00146573">
      <w:pPr>
        <w:pStyle w:val="ListParagraph"/>
        <w:numPr>
          <w:ilvl w:val="0"/>
          <w:numId w:val="33"/>
        </w:numPr>
        <w:rPr>
          <w:b/>
          <w:bCs/>
        </w:rPr>
      </w:pPr>
      <w:r w:rsidRPr="009707B0">
        <w:rPr>
          <w:b/>
          <w:bCs/>
        </w:rPr>
        <w:t>Phase Difference AOD for RedCap UEs</w:t>
      </w:r>
    </w:p>
    <w:p w14:paraId="1294F5BB" w14:textId="77777777" w:rsidR="00146573" w:rsidRPr="009707B0" w:rsidRDefault="00AF67AD">
      <w:pPr>
        <w:pStyle w:val="ListParagraph"/>
        <w:numPr>
          <w:ilvl w:val="0"/>
          <w:numId w:val="33"/>
        </w:numPr>
        <w:rPr>
          <w:b/>
          <w:bCs/>
        </w:rPr>
      </w:pPr>
      <w:r w:rsidRPr="009707B0">
        <w:rPr>
          <w:b/>
          <w:bCs/>
        </w:rPr>
        <w:t>Use of SSB, TRS, SRS-MIMO for positioning of RedCap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enhancements </w:t>
      </w:r>
      <w:r>
        <w:t xml:space="preserve"> in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336BD4">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336BD4">
        <w:tc>
          <w:tcPr>
            <w:tcW w:w="1454" w:type="dxa"/>
          </w:tcPr>
          <w:p w14:paraId="33925017" w14:textId="77777777" w:rsidR="006068EB" w:rsidRPr="00664B33" w:rsidRDefault="006068EB" w:rsidP="002D4CF9">
            <w:pPr>
              <w:pStyle w:val="3GPPAgreements"/>
              <w:numPr>
                <w:ilvl w:val="0"/>
                <w:numId w:val="0"/>
              </w:numPr>
              <w:rPr>
                <w:rFonts w:eastAsiaTheme="minorEastAsia"/>
                <w:sz w:val="20"/>
              </w:rPr>
            </w:pPr>
            <w:r>
              <w:rPr>
                <w:rFonts w:eastAsiaTheme="minorEastAsia" w:hint="eastAsia"/>
                <w:sz w:val="20"/>
              </w:rPr>
              <w:lastRenderedPageBreak/>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arrier phase positioning for RedCap UEs</w:t>
            </w:r>
            <w:r>
              <w:rPr>
                <w:rFonts w:eastAsiaTheme="minorEastAsia" w:hint="eastAsia"/>
                <w:sz w:val="20"/>
              </w:rPr>
              <w:t>.</w:t>
            </w:r>
          </w:p>
        </w:tc>
      </w:tr>
      <w:tr w:rsidR="00D96B2F" w14:paraId="12824922" w14:textId="77777777" w:rsidTr="00336BD4">
        <w:tc>
          <w:tcPr>
            <w:tcW w:w="1454" w:type="dxa"/>
          </w:tcPr>
          <w:p w14:paraId="5FA72210" w14:textId="7161805B" w:rsidR="00D96B2F" w:rsidRDefault="00D96B2F"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RedCap UEs. </w:t>
            </w:r>
          </w:p>
        </w:tc>
      </w:tr>
      <w:tr w:rsidR="00152FD1" w14:paraId="6CF2478C" w14:textId="77777777" w:rsidTr="00336BD4">
        <w:tc>
          <w:tcPr>
            <w:tcW w:w="1454" w:type="dxa"/>
          </w:tcPr>
          <w:p w14:paraId="3F7DE061" w14:textId="2404BABE" w:rsidR="00152FD1" w:rsidRDefault="00152FD1"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336BD4">
        <w:tc>
          <w:tcPr>
            <w:tcW w:w="1454" w:type="dxa"/>
          </w:tcPr>
          <w:p w14:paraId="5482DAAF" w14:textId="152C9F22" w:rsidR="00AE1BF0" w:rsidRDefault="00AE1BF0" w:rsidP="002D4CF9">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companies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e.g., the agreed KPI eventually, the gain, the cost etc. </w:t>
            </w:r>
            <w:r w:rsidR="000312E6">
              <w:rPr>
                <w:rFonts w:eastAsiaTheme="minorEastAsia"/>
                <w:sz w:val="20"/>
              </w:rPr>
              <w:t xml:space="preserve">so we suggest to postpone on this question. </w:t>
            </w:r>
          </w:p>
        </w:tc>
      </w:tr>
      <w:tr w:rsidR="00187042" w14:paraId="2D624CED" w14:textId="77777777" w:rsidTr="00336BD4">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r w:rsidR="00652492" w14:paraId="590E0A30" w14:textId="77777777" w:rsidTr="00336BD4">
        <w:tc>
          <w:tcPr>
            <w:tcW w:w="1454" w:type="dxa"/>
          </w:tcPr>
          <w:p w14:paraId="73D2FC39" w14:textId="77777777" w:rsidR="00652492" w:rsidRDefault="00652492" w:rsidP="002D4CF9">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0022FB44"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W</w:t>
            </w:r>
            <w:r>
              <w:rPr>
                <w:rFonts w:eastAsiaTheme="minorEastAsia"/>
                <w:sz w:val="20"/>
              </w:rPr>
              <w:t>e support the use of MIMO-SRS for RTT positioning and INACTIVE state positioning.</w:t>
            </w:r>
          </w:p>
        </w:tc>
      </w:tr>
      <w:tr w:rsidR="00336BD4" w:rsidRPr="001137ED" w14:paraId="0E562F67" w14:textId="77777777" w:rsidTr="00336BD4">
        <w:tc>
          <w:tcPr>
            <w:tcW w:w="1454" w:type="dxa"/>
          </w:tcPr>
          <w:p w14:paraId="07B53048" w14:textId="77777777" w:rsidR="00336BD4" w:rsidRPr="001137ED" w:rsidRDefault="00336BD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4D09DC53" w14:textId="278A3AA8" w:rsidR="00336BD4" w:rsidRPr="001137ED" w:rsidRDefault="00E84100" w:rsidP="002D4CF9">
            <w:pPr>
              <w:pStyle w:val="3GPPAgreements"/>
              <w:numPr>
                <w:ilvl w:val="0"/>
                <w:numId w:val="0"/>
              </w:numPr>
              <w:rPr>
                <w:rFonts w:eastAsia="MS Mincho"/>
                <w:sz w:val="20"/>
                <w:lang w:eastAsia="ja-JP"/>
              </w:rPr>
            </w:pPr>
            <w:r>
              <w:rPr>
                <w:rFonts w:eastAsia="MS Mincho"/>
                <w:sz w:val="20"/>
                <w:lang w:eastAsia="ja-JP"/>
              </w:rPr>
              <w:t>For</w:t>
            </w:r>
            <w:r w:rsidR="00336BD4">
              <w:rPr>
                <w:rFonts w:eastAsia="MS Mincho"/>
                <w:sz w:val="20"/>
                <w:lang w:eastAsia="ja-JP"/>
              </w:rPr>
              <w:t xml:space="preserve"> carrier phase positioning, we have a similar view with ZTE. Discussions on AI 9.5.2.2 can be reused.</w:t>
            </w:r>
          </w:p>
        </w:tc>
      </w:tr>
      <w:tr w:rsidR="00407246" w:rsidRPr="001137ED" w14:paraId="647561EA" w14:textId="77777777" w:rsidTr="00336BD4">
        <w:tc>
          <w:tcPr>
            <w:tcW w:w="1454" w:type="dxa"/>
          </w:tcPr>
          <w:p w14:paraId="700A61CA" w14:textId="745B563E" w:rsidR="00407246" w:rsidRDefault="00407246" w:rsidP="00407246">
            <w:pPr>
              <w:pStyle w:val="3GPPAgreements"/>
              <w:numPr>
                <w:ilvl w:val="0"/>
                <w:numId w:val="0"/>
              </w:numPr>
              <w:rPr>
                <w:rFonts w:eastAsia="MS Mincho" w:hint="eastAsia"/>
                <w:sz w:val="20"/>
                <w:lang w:eastAsia="ja-JP"/>
              </w:rPr>
            </w:pPr>
            <w:r>
              <w:rPr>
                <w:rFonts w:eastAsiaTheme="minorEastAsia"/>
                <w:sz w:val="20"/>
              </w:rPr>
              <w:t>Apple</w:t>
            </w:r>
          </w:p>
        </w:tc>
        <w:tc>
          <w:tcPr>
            <w:tcW w:w="7386" w:type="dxa"/>
          </w:tcPr>
          <w:p w14:paraId="5956728D" w14:textId="6F086E80" w:rsidR="00407246" w:rsidRDefault="00407246" w:rsidP="00407246">
            <w:pPr>
              <w:pStyle w:val="3GPPAgreements"/>
              <w:numPr>
                <w:ilvl w:val="0"/>
                <w:numId w:val="0"/>
              </w:numPr>
              <w:rPr>
                <w:rFonts w:eastAsia="MS Mincho"/>
                <w:sz w:val="20"/>
                <w:lang w:eastAsia="ja-JP"/>
              </w:rPr>
            </w:pPr>
            <w:proofErr w:type="gramStart"/>
            <w:r>
              <w:rPr>
                <w:rFonts w:eastAsiaTheme="minorEastAsia"/>
                <w:sz w:val="20"/>
              </w:rPr>
              <w:t>A and</w:t>
            </w:r>
            <w:proofErr w:type="gramEnd"/>
            <w:r>
              <w:rPr>
                <w:rFonts w:eastAsiaTheme="minorEastAsia"/>
                <w:sz w:val="20"/>
              </w:rPr>
              <w:t xml:space="preserve"> I. We think that carrier phase positioning should not be discussed simultaneously under two sub-agenda items.</w:t>
            </w:r>
          </w:p>
        </w:tc>
      </w:tr>
    </w:tbl>
    <w:p w14:paraId="243A9DB0" w14:textId="77777777" w:rsidR="00FF2069" w:rsidRPr="00652492" w:rsidRDefault="00FF2069" w:rsidP="00FF2069">
      <w:pPr>
        <w:pStyle w:val="0maintext"/>
        <w:rPr>
          <w:sz w:val="20"/>
          <w:szCs w:val="20"/>
          <w:lang w:val="en-GB"/>
        </w:rPr>
      </w:pPr>
    </w:p>
    <w:p w14:paraId="77C0257A" w14:textId="77777777" w:rsidR="009C7F25" w:rsidRDefault="009C7F25" w:rsidP="00407246">
      <w:pPr>
        <w:pStyle w:val="00Text"/>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Discussion on Positioning for RedCap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Discussion on positioning for RedCap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Discussion on positioning for RedCap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Discussion on positioning for RedCap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Discussion on positioning support for RedCap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Views on Positioning for RedCap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Positioning for RedCap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Positioning for RedCap UEs</w:t>
      </w:r>
      <w:r w:rsidR="00722717">
        <w:t xml:space="preserve">, </w:t>
      </w:r>
      <w:r>
        <w:t>Intel Corporation</w:t>
      </w:r>
    </w:p>
    <w:p w14:paraId="72ABDBA1" w14:textId="77777777" w:rsidR="00AC5DBC" w:rsidRDefault="00AC5DBC">
      <w:pPr>
        <w:pStyle w:val="3GPPText"/>
        <w:numPr>
          <w:ilvl w:val="0"/>
          <w:numId w:val="9"/>
        </w:numPr>
        <w:tabs>
          <w:tab w:val="clear" w:pos="567"/>
        </w:tabs>
      </w:pPr>
      <w:r>
        <w:lastRenderedPageBreak/>
        <w:t>R1-2206835</w:t>
      </w:r>
      <w:r w:rsidR="00722717">
        <w:t xml:space="preserve">, </w:t>
      </w:r>
      <w:r>
        <w:t>Discussion on Positioning for RedCap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Discussion on RedCap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r>
        <w:t>InterDigital,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Discussion on positioning for RedCap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The potential solutions for RedCap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Considerations for RedCap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RedCap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Annex B.6: Evaluation Results for Positioning for RedCap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Heading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NR RedCap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SimSun"/>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SimSun"/>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SimSun"/>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SimSun"/>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SimSun"/>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w:t>
            </w:r>
          </w:p>
          <w:p w14:paraId="7504783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SimSun"/>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SimSun"/>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SimSun"/>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SimSun"/>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SimSun"/>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SimSun"/>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SimSun"/>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48F6B91E" w14:textId="77777777" w:rsidR="00C77C67" w:rsidRDefault="00C77C67" w:rsidP="008A4449">
            <w:pPr>
              <w:pStyle w:val="TAC"/>
              <w:rPr>
                <w:rStyle w:val="TALCar"/>
                <w:rFonts w:eastAsia="SimSun"/>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SimSun"/>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SimSun"/>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SimSun"/>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SimSun"/>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SimSun"/>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SimSun"/>
                <w:sz w:val="16"/>
                <w:szCs w:val="16"/>
                <w:lang w:val="en-US"/>
              </w:rPr>
            </w:pPr>
            <w:r w:rsidRPr="00F136D6">
              <w:rPr>
                <w:rStyle w:val="TALCar"/>
                <w:rFonts w:eastAsia="SimSun"/>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SimSun"/>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SimSun"/>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5" w:name="_Toc55965348"/>
      <w:r>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SimSun" w:cs="Arial"/>
                <w:sz w:val="16"/>
                <w:szCs w:val="16"/>
                <w:lang w:val="en-US"/>
              </w:rPr>
            </w:pPr>
            <w:r>
              <w:rPr>
                <w:rStyle w:val="TALCar"/>
                <w:rFonts w:eastAsia="SimSun" w:cs="Arial" w:hint="eastAsia"/>
                <w:sz w:val="16"/>
                <w:szCs w:val="16"/>
                <w:lang w:val="en-US"/>
              </w:rPr>
              <w:t>C</w:t>
            </w:r>
            <w:r>
              <w:rPr>
                <w:rStyle w:val="TALCar"/>
                <w:rFonts w:eastAsia="SimSun" w:cs="Arial"/>
                <w:sz w:val="16"/>
                <w:szCs w:val="16"/>
                <w:lang w:val="en-US"/>
              </w:rPr>
              <w:t>ases</w:t>
            </w:r>
          </w:p>
        </w:tc>
        <w:tc>
          <w:tcPr>
            <w:tcW w:w="1332" w:type="dxa"/>
          </w:tcPr>
          <w:p w14:paraId="583F8C9B" w14:textId="77777777" w:rsidR="00F87ECB" w:rsidRDefault="00F87ECB" w:rsidP="008A4449">
            <w:pPr>
              <w:pStyle w:val="TAC"/>
              <w:rPr>
                <w:rStyle w:val="TALCar"/>
                <w:rFonts w:eastAsia="SimSun" w:cs="Arial"/>
                <w:sz w:val="16"/>
                <w:szCs w:val="16"/>
                <w:lang w:val="en-US"/>
              </w:rPr>
            </w:pPr>
          </w:p>
        </w:tc>
        <w:tc>
          <w:tcPr>
            <w:tcW w:w="1332" w:type="dxa"/>
            <w:vAlign w:val="center"/>
          </w:tcPr>
          <w:p w14:paraId="1901F70B"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SimSun"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SimSun" w:cs="Arial"/>
                <w:sz w:val="16"/>
                <w:szCs w:val="16"/>
                <w:lang w:val="en-US"/>
              </w:rPr>
            </w:pPr>
          </w:p>
        </w:tc>
        <w:tc>
          <w:tcPr>
            <w:tcW w:w="1333" w:type="dxa"/>
            <w:vAlign w:val="center"/>
          </w:tcPr>
          <w:p w14:paraId="72828BFF" w14:textId="77777777" w:rsidR="00F87ECB" w:rsidRDefault="00F87ECB" w:rsidP="008A4449">
            <w:pPr>
              <w:pStyle w:val="TAC"/>
              <w:rPr>
                <w:rStyle w:val="TALCar"/>
                <w:rFonts w:eastAsia="SimSun" w:cs="Arial"/>
                <w:sz w:val="16"/>
                <w:szCs w:val="16"/>
                <w:lang w:val="en-US"/>
              </w:rPr>
            </w:pPr>
          </w:p>
        </w:tc>
        <w:tc>
          <w:tcPr>
            <w:tcW w:w="1332" w:type="dxa"/>
            <w:vAlign w:val="center"/>
          </w:tcPr>
          <w:p w14:paraId="1541A608" w14:textId="77777777" w:rsidR="00F87ECB" w:rsidRDefault="00F87ECB" w:rsidP="008A4449">
            <w:pPr>
              <w:pStyle w:val="TAC"/>
              <w:rPr>
                <w:rStyle w:val="TALCar"/>
                <w:rFonts w:eastAsia="SimSun" w:cs="Arial"/>
                <w:sz w:val="16"/>
                <w:szCs w:val="16"/>
                <w:lang w:val="en-US"/>
              </w:rPr>
            </w:pPr>
          </w:p>
        </w:tc>
        <w:tc>
          <w:tcPr>
            <w:tcW w:w="1333" w:type="dxa"/>
            <w:vAlign w:val="center"/>
          </w:tcPr>
          <w:p w14:paraId="128B4611" w14:textId="77777777" w:rsidR="00F87ECB" w:rsidRDefault="00F87ECB" w:rsidP="008A4449">
            <w:pPr>
              <w:pStyle w:val="TAC"/>
              <w:rPr>
                <w:rStyle w:val="TALCar"/>
                <w:rFonts w:eastAsia="SimSun"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SimSun" w:cs="Arial"/>
                <w:sz w:val="16"/>
                <w:szCs w:val="16"/>
                <w:lang w:val="en-US"/>
              </w:rPr>
            </w:pPr>
          </w:p>
        </w:tc>
        <w:tc>
          <w:tcPr>
            <w:tcW w:w="1332" w:type="dxa"/>
          </w:tcPr>
          <w:p w14:paraId="42F1C15E"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SimSun" w:cs="Arial"/>
                <w:sz w:val="16"/>
                <w:szCs w:val="16"/>
                <w:lang w:val="en-US"/>
              </w:rPr>
            </w:pPr>
          </w:p>
        </w:tc>
        <w:tc>
          <w:tcPr>
            <w:tcW w:w="1333" w:type="dxa"/>
            <w:vAlign w:val="center"/>
          </w:tcPr>
          <w:p w14:paraId="7D9519A6" w14:textId="77777777" w:rsidR="00F87ECB" w:rsidRDefault="00F87ECB" w:rsidP="008A4449">
            <w:pPr>
              <w:pStyle w:val="TAC"/>
              <w:rPr>
                <w:rStyle w:val="TALCar"/>
                <w:rFonts w:eastAsia="SimSun" w:cs="Arial"/>
                <w:sz w:val="16"/>
                <w:szCs w:val="16"/>
                <w:lang w:val="en-US"/>
              </w:rPr>
            </w:pPr>
          </w:p>
        </w:tc>
        <w:tc>
          <w:tcPr>
            <w:tcW w:w="1332" w:type="dxa"/>
            <w:vAlign w:val="center"/>
          </w:tcPr>
          <w:p w14:paraId="5C05EA44" w14:textId="77777777" w:rsidR="00F87ECB" w:rsidRDefault="00F87ECB" w:rsidP="008A4449">
            <w:pPr>
              <w:pStyle w:val="TAC"/>
              <w:rPr>
                <w:rStyle w:val="TALCar"/>
                <w:rFonts w:eastAsia="SimSun" w:cs="Arial"/>
                <w:sz w:val="16"/>
                <w:szCs w:val="16"/>
                <w:lang w:val="en-US"/>
              </w:rPr>
            </w:pPr>
          </w:p>
        </w:tc>
        <w:tc>
          <w:tcPr>
            <w:tcW w:w="1333" w:type="dxa"/>
            <w:vAlign w:val="center"/>
          </w:tcPr>
          <w:p w14:paraId="69F9215F" w14:textId="77777777" w:rsidR="00F87ECB" w:rsidRDefault="00F87ECB" w:rsidP="008A4449">
            <w:pPr>
              <w:pStyle w:val="TAC"/>
              <w:rPr>
                <w:rStyle w:val="TALCar"/>
                <w:rFonts w:eastAsia="SimSun"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provides the results  of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FA2E" w14:textId="77777777" w:rsidR="00F931C7" w:rsidRDefault="00F931C7">
      <w:pPr>
        <w:spacing w:after="0"/>
      </w:pPr>
      <w:r>
        <w:separator/>
      </w:r>
    </w:p>
  </w:endnote>
  <w:endnote w:type="continuationSeparator" w:id="0">
    <w:p w14:paraId="2B541A52" w14:textId="77777777" w:rsidR="00F931C7" w:rsidRDefault="00F931C7">
      <w:pPr>
        <w:spacing w:after="0"/>
      </w:pPr>
      <w:r>
        <w:continuationSeparator/>
      </w:r>
    </w:p>
  </w:endnote>
  <w:endnote w:type="continuationNotice" w:id="1">
    <w:p w14:paraId="30263980" w14:textId="77777777" w:rsidR="00F931C7" w:rsidRDefault="00F931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altName w:val="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2D4CF9" w:rsidRDefault="002D4CF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2D4CF9" w:rsidRDefault="002D4CF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6EA3E7B2" w:rsidR="002D4CF9" w:rsidRDefault="002D4CF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A1FF" w14:textId="77777777" w:rsidR="00F931C7" w:rsidRDefault="00F931C7">
      <w:pPr>
        <w:spacing w:after="0"/>
      </w:pPr>
      <w:r>
        <w:separator/>
      </w:r>
    </w:p>
  </w:footnote>
  <w:footnote w:type="continuationSeparator" w:id="0">
    <w:p w14:paraId="57EE81B8" w14:textId="77777777" w:rsidR="00F931C7" w:rsidRDefault="00F931C7">
      <w:pPr>
        <w:spacing w:after="0"/>
      </w:pPr>
      <w:r>
        <w:continuationSeparator/>
      </w:r>
    </w:p>
  </w:footnote>
  <w:footnote w:type="continuationNotice" w:id="1">
    <w:p w14:paraId="57B7AC3C" w14:textId="77777777" w:rsidR="00F931C7" w:rsidRDefault="00F931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2D4CF9" w:rsidRDefault="002D4C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SimSu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SimSun"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SimSun"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3344001">
    <w:abstractNumId w:val="2"/>
  </w:num>
  <w:num w:numId="2" w16cid:durableId="2129083208">
    <w:abstractNumId w:val="18"/>
  </w:num>
  <w:num w:numId="3" w16cid:durableId="174614941">
    <w:abstractNumId w:val="23"/>
  </w:num>
  <w:num w:numId="4" w16cid:durableId="181287201">
    <w:abstractNumId w:val="8"/>
  </w:num>
  <w:num w:numId="5" w16cid:durableId="132855469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51779100">
    <w:abstractNumId w:val="9"/>
  </w:num>
  <w:num w:numId="7" w16cid:durableId="549807839">
    <w:abstractNumId w:val="16"/>
  </w:num>
  <w:num w:numId="8" w16cid:durableId="389231402">
    <w:abstractNumId w:val="30"/>
  </w:num>
  <w:num w:numId="9" w16cid:durableId="148714138">
    <w:abstractNumId w:val="24"/>
  </w:num>
  <w:num w:numId="10" w16cid:durableId="1080952016">
    <w:abstractNumId w:val="3"/>
  </w:num>
  <w:num w:numId="11" w16cid:durableId="270475229">
    <w:abstractNumId w:val="17"/>
  </w:num>
  <w:num w:numId="12" w16cid:durableId="1438065017">
    <w:abstractNumId w:val="26"/>
  </w:num>
  <w:num w:numId="13" w16cid:durableId="874973493">
    <w:abstractNumId w:val="6"/>
  </w:num>
  <w:num w:numId="14" w16cid:durableId="834802673">
    <w:abstractNumId w:val="5"/>
  </w:num>
  <w:num w:numId="15" w16cid:durableId="28115244">
    <w:abstractNumId w:val="14"/>
  </w:num>
  <w:num w:numId="16" w16cid:durableId="1522164211">
    <w:abstractNumId w:val="27"/>
  </w:num>
  <w:num w:numId="17" w16cid:durableId="1789083140">
    <w:abstractNumId w:val="29"/>
  </w:num>
  <w:num w:numId="18" w16cid:durableId="2008900684">
    <w:abstractNumId w:val="1"/>
  </w:num>
  <w:num w:numId="19" w16cid:durableId="1005471596">
    <w:abstractNumId w:val="35"/>
  </w:num>
  <w:num w:numId="20" w16cid:durableId="1783107195">
    <w:abstractNumId w:val="20"/>
  </w:num>
  <w:num w:numId="21" w16cid:durableId="499538632">
    <w:abstractNumId w:val="4"/>
  </w:num>
  <w:num w:numId="22" w16cid:durableId="166949170">
    <w:abstractNumId w:val="31"/>
  </w:num>
  <w:num w:numId="23" w16cid:durableId="990257168">
    <w:abstractNumId w:val="28"/>
  </w:num>
  <w:num w:numId="24" w16cid:durableId="334500452">
    <w:abstractNumId w:val="19"/>
  </w:num>
  <w:num w:numId="25" w16cid:durableId="1012755759">
    <w:abstractNumId w:val="10"/>
  </w:num>
  <w:num w:numId="26" w16cid:durableId="557739804">
    <w:abstractNumId w:val="12"/>
  </w:num>
  <w:num w:numId="27" w16cid:durableId="579028555">
    <w:abstractNumId w:val="21"/>
  </w:num>
  <w:num w:numId="28" w16cid:durableId="2114664023">
    <w:abstractNumId w:val="22"/>
  </w:num>
  <w:num w:numId="29" w16cid:durableId="503935367">
    <w:abstractNumId w:val="36"/>
  </w:num>
  <w:num w:numId="30" w16cid:durableId="730538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097502">
    <w:abstractNumId w:val="13"/>
  </w:num>
  <w:num w:numId="32" w16cid:durableId="1516923641">
    <w:abstractNumId w:val="32"/>
  </w:num>
  <w:num w:numId="33" w16cid:durableId="1540819067">
    <w:abstractNumId w:val="34"/>
  </w:num>
  <w:num w:numId="34" w16cid:durableId="1780567123">
    <w:abstractNumId w:val="33"/>
  </w:num>
  <w:num w:numId="35" w16cid:durableId="843592781">
    <w:abstractNumId w:val="15"/>
  </w:num>
  <w:num w:numId="36" w16cid:durableId="1795636782">
    <w:abstractNumId w:val="11"/>
  </w:num>
  <w:num w:numId="37" w16cid:durableId="16417723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398"/>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A68"/>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76"/>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4CF9"/>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BD4"/>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7D1"/>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246"/>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90"/>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492"/>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0F14"/>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80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40"/>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417"/>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0C67"/>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024"/>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100"/>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1C7"/>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A8F8461-AFBF-406D-A2E0-DF54C3BF896B}">
  <ds:schemaRefs>
    <ds:schemaRef ds:uri="http://schemas.openxmlformats.org/officeDocument/2006/bibliography"/>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3398ADE4-773C-4249-9748-BC6BE42590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6128</Words>
  <Characters>34933</Characters>
  <Application>Microsoft Office Word</Application>
  <DocSecurity>0</DocSecurity>
  <Lines>291</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Kome Oteri</cp:lastModifiedBy>
  <cp:revision>3</cp:revision>
  <dcterms:created xsi:type="dcterms:W3CDTF">2022-08-23T06:33:00Z</dcterms:created>
  <dcterms:modified xsi:type="dcterms:W3CDTF">2022-08-23T06:38:00Z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