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45318D0B" w14:textId="77777777" w:rsidR="004F3423" w:rsidRPr="001A5A0D" w:rsidRDefault="004F3423">
            <w:pPr>
              <w:numPr>
                <w:ilvl w:val="1"/>
                <w:numId w:val="21"/>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8FCB0F8" w14:textId="77777777" w:rsidR="004F3423" w:rsidRPr="001A5A0D" w:rsidRDefault="004F3423">
            <w:pPr>
              <w:numPr>
                <w:ilvl w:val="1"/>
                <w:numId w:val="21"/>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B535A5"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proofErr w:type="spellStart"/>
            <w:r>
              <w:rPr>
                <w:rFonts w:eastAsiaTheme="minorEastAsia" w:hint="eastAsia"/>
                <w:lang w:eastAsia="zh-CN"/>
              </w:rPr>
              <w:t>C</w:t>
            </w:r>
            <w:r>
              <w:rPr>
                <w:rFonts w:eastAsiaTheme="minorEastAsia"/>
                <w:lang w:eastAsia="zh-CN"/>
              </w:rPr>
              <w:t>huangxin</w:t>
            </w:r>
            <w:proofErr w:type="spellEnd"/>
            <w:r>
              <w:rPr>
                <w:rFonts w:eastAsiaTheme="minorEastAsia"/>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bl>
    <w:p w14:paraId="35C0C334" w14:textId="77777777" w:rsidR="002234A6" w:rsidRPr="00BD6456" w:rsidRDefault="002234A6" w:rsidP="00514FE9">
      <w:pPr>
        <w:pStyle w:val="3GPPText"/>
        <w:rPr>
          <w:highlight w:val="cyan"/>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w:t>
      </w:r>
      <w:proofErr w:type="gramStart"/>
      <w:r w:rsidR="00BF65EF">
        <w:t>i.e.</w:t>
      </w:r>
      <w:proofErr w:type="gramEnd"/>
      <w:r w:rsidR="00BF65EF">
        <w:t xml:space="preserv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宋体"/>
                <w:b/>
                <w:i/>
                <w:lang w:eastAsia="zh-CN"/>
              </w:rPr>
              <w:t xml:space="preserve">Support looser positioning accuracy requirement for </w:t>
            </w:r>
            <w:proofErr w:type="spellStart"/>
            <w:r>
              <w:rPr>
                <w:rFonts w:eastAsia="宋体"/>
                <w:b/>
                <w:i/>
                <w:lang w:eastAsia="zh-CN"/>
              </w:rPr>
              <w:t>RedCap</w:t>
            </w:r>
            <w:proofErr w:type="spellEnd"/>
            <w:r>
              <w:rPr>
                <w:rFonts w:eastAsia="宋体"/>
                <w:b/>
                <w:i/>
                <w:lang w:eastAsia="zh-CN"/>
              </w:rPr>
              <w:t xml:space="preserve">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lastRenderedPageBreak/>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 xml:space="preserve">Reuse the positioning requirements of wearables, industrial wireless sensors with the battery life limitation of a few years, and augmented reality in smart factories in TS 22.261 and TS 22.104 (i.e.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 xml:space="preserve">For industrial wireless sensors, the horizontal positioning accuracy is 30 cm – 10 m, and the horizontal positioning accuracy in indoor is 2m – 3m, depending on </w:t>
            </w:r>
            <w:r w:rsidRPr="00581BBC">
              <w:rPr>
                <w:b/>
                <w:i/>
                <w:sz w:val="22"/>
                <w:szCs w:val="22"/>
                <w:lang w:val="en-US" w:eastAsia="ko-KR"/>
              </w:rPr>
              <w:lastRenderedPageBreak/>
              <w:t>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w:t>
            </w:r>
            <w:proofErr w:type="spellStart"/>
            <w:r>
              <w:rPr>
                <w:rFonts w:ascii="Times New Roman" w:eastAsiaTheme="minorEastAsia" w:hAnsi="Times New Roman" w:cs="Times New Roman"/>
                <w:b w:val="0"/>
                <w:sz w:val="20"/>
                <w:szCs w:val="20"/>
              </w:rPr>
              <w:t>RedCap</w:t>
            </w:r>
            <w:proofErr w:type="spellEnd"/>
            <w:r>
              <w:rPr>
                <w:rFonts w:ascii="Times New Roman" w:eastAsiaTheme="minorEastAsia" w:hAnsi="Times New Roman" w:cs="Times New Roman"/>
                <w:b w:val="0"/>
                <w:sz w:val="20"/>
                <w:szCs w:val="20"/>
              </w:rPr>
              <w:t xml:space="preserve">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宋体" w:hAnsi="Times New Roman"/>
                <w:i/>
                <w:sz w:val="20"/>
                <w:szCs w:val="20"/>
              </w:rPr>
              <w:t xml:space="preserve">For evaluation for </w:t>
            </w:r>
            <w:proofErr w:type="spellStart"/>
            <w:r>
              <w:rPr>
                <w:rFonts w:ascii="Times New Roman" w:eastAsia="宋体" w:hAnsi="Times New Roman"/>
                <w:i/>
                <w:sz w:val="20"/>
                <w:szCs w:val="20"/>
              </w:rPr>
              <w:t>RedCap</w:t>
            </w:r>
            <w:proofErr w:type="spellEnd"/>
            <w:r>
              <w:rPr>
                <w:rFonts w:ascii="Times New Roman" w:eastAsia="宋体" w:hAnsi="Times New Roman"/>
                <w:i/>
                <w:sz w:val="20"/>
                <w:szCs w:val="20"/>
              </w:rPr>
              <w:t xml:space="preserve"> UE positioning in commercial use cases and </w:t>
            </w:r>
            <w:proofErr w:type="spellStart"/>
            <w:r>
              <w:rPr>
                <w:rFonts w:ascii="Times New Roman" w:eastAsia="宋体" w:hAnsi="Times New Roman"/>
                <w:i/>
                <w:sz w:val="20"/>
                <w:szCs w:val="20"/>
              </w:rPr>
              <w:t>IIoT</w:t>
            </w:r>
            <w:proofErr w:type="spellEnd"/>
            <w:r>
              <w:rPr>
                <w:rFonts w:ascii="Times New Roman" w:eastAsia="宋体" w:hAnsi="Times New Roman"/>
                <w:i/>
                <w:sz w:val="20"/>
                <w:szCs w:val="20"/>
              </w:rPr>
              <w:t xml:space="preserve"> use cases, pursue </w:t>
            </w:r>
            <w:r w:rsidR="003B21FA">
              <w:rPr>
                <w:rFonts w:ascii="Times New Roman" w:eastAsia="宋体" w:hAnsi="Times New Roman"/>
                <w:i/>
                <w:sz w:val="20"/>
                <w:szCs w:val="20"/>
              </w:rPr>
              <w:t>comparable</w:t>
            </w:r>
            <w:r>
              <w:rPr>
                <w:rFonts w:ascii="Times New Roman" w:eastAsia="宋体" w:hAnsi="Times New Roman"/>
                <w:i/>
                <w:sz w:val="20"/>
                <w:szCs w:val="20"/>
              </w:rPr>
              <w:t xml:space="preserve"> target positioning requirements</w:t>
            </w:r>
            <w:r w:rsidR="003B21FA">
              <w:rPr>
                <w:rFonts w:ascii="Times New Roman" w:eastAsia="宋体" w:hAnsi="Times New Roman"/>
                <w:i/>
                <w:sz w:val="20"/>
                <w:szCs w:val="20"/>
              </w:rPr>
              <w:t xml:space="preserve"> as</w:t>
            </w:r>
            <w:r>
              <w:rPr>
                <w:rFonts w:ascii="Times New Roman" w:eastAsia="宋体"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 xml:space="preserve">it is proposed to study the </w:t>
      </w:r>
      <w:proofErr w:type="gramStart"/>
      <w:r w:rsidR="000224B2">
        <w:t>end to end</w:t>
      </w:r>
      <w:proofErr w:type="gramEnd"/>
      <w:r w:rsidR="000224B2">
        <w:t xml:space="preserve">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45"/>
        <w:gridCol w:w="1058"/>
        <w:gridCol w:w="7175"/>
      </w:tblGrid>
      <w:tr w:rsidR="00656DF3" w14:paraId="6410CD50" w14:textId="77777777" w:rsidTr="00656DF3">
        <w:tc>
          <w:tcPr>
            <w:tcW w:w="1454"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64"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386"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6DF3">
        <w:tc>
          <w:tcPr>
            <w:tcW w:w="1454"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64"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386"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6DF3">
        <w:tc>
          <w:tcPr>
            <w:tcW w:w="1454"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64"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386"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6DF3">
        <w:tc>
          <w:tcPr>
            <w:tcW w:w="1454"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64"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386"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6DF3">
        <w:tc>
          <w:tcPr>
            <w:tcW w:w="1454"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64"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386"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6DF3">
        <w:tc>
          <w:tcPr>
            <w:tcW w:w="1454"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64"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386"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8A4449">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8A4449">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8A4449">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8A4449">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8A4449">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lastRenderedPageBreak/>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8A4449">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bl>
    <w:p w14:paraId="5BFCB314" w14:textId="77777777" w:rsidR="006A0B13" w:rsidRDefault="006A0B13" w:rsidP="006A0B13">
      <w:pPr>
        <w:pStyle w:val="3GPPText"/>
      </w:pPr>
      <w:r>
        <w:t xml:space="preserve"> </w:t>
      </w: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宋体"/>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宋体"/>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宋体"/>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宋体"/>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宋体"/>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w:t>
            </w:r>
          </w:p>
          <w:p w14:paraId="1B8071E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宋体"/>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宋体"/>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宋体"/>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宋体"/>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宋体"/>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宋体"/>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宋体"/>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51FCA5E9" w14:textId="77777777" w:rsidR="0041546B" w:rsidRDefault="0041546B" w:rsidP="008A4449">
            <w:pPr>
              <w:pStyle w:val="TAC"/>
              <w:rPr>
                <w:rStyle w:val="TALCar"/>
                <w:rFonts w:eastAsia="宋体"/>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宋体"/>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宋体"/>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宋体"/>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宋体"/>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宋体"/>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宋体"/>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宋体"/>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宋体"/>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宋体"/>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宋体"/>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宋体"/>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宋体"/>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宋体"/>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宋体"/>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w:t>
            </w:r>
          </w:p>
          <w:p w14:paraId="369ED54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宋体"/>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宋体"/>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宋体"/>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宋体"/>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宋体"/>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宋体"/>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宋体"/>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55D1D0AF" w14:textId="77777777" w:rsidR="00FC3A0D" w:rsidRDefault="00FC3A0D" w:rsidP="008A4449">
            <w:pPr>
              <w:pStyle w:val="TAC"/>
              <w:rPr>
                <w:rStyle w:val="TALCar"/>
                <w:rFonts w:eastAsia="宋体"/>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宋体"/>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宋体"/>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宋体"/>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宋体"/>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宋体"/>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宋体"/>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宋体"/>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宋体"/>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宋体"/>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8A4449">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154D5B">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PRS Bandwidth</w:t>
            </w:r>
          </w:p>
          <w:p w14:paraId="0FC3D5E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gNB</w:t>
            </w:r>
            <w:r w:rsidRPr="00B03DE1">
              <w:rPr>
                <w:rStyle w:val="TALCar"/>
                <w:rFonts w:eastAsia="宋体"/>
                <w:sz w:val="16"/>
                <w:szCs w:val="16"/>
                <w:lang w:val="en-US"/>
              </w:rPr>
              <w:t xml:space="preserve"> antenna configuration</w:t>
            </w:r>
            <w:r w:rsidRPr="00B03DE1">
              <w:rPr>
                <w:rStyle w:val="TALCar"/>
                <w:rFonts w:eastAsia="宋体"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lastRenderedPageBreak/>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8A4449">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 xml:space="preserve">Evaluate positioning performance of existing positioning procedures and measurements with </w:t>
            </w:r>
            <w:proofErr w:type="spellStart"/>
            <w:r w:rsidRPr="00415F87">
              <w:rPr>
                <w:b w:val="0"/>
                <w:bCs w:val="0"/>
              </w:rPr>
              <w:t>RedCap</w:t>
            </w:r>
            <w:proofErr w:type="spellEnd"/>
            <w:r w:rsidRPr="00415F87">
              <w:rPr>
                <w:b w:val="0"/>
                <w:bCs w:val="0"/>
              </w:rPr>
              <w:t xml:space="preserve"> UEs</w:t>
            </w:r>
          </w:p>
        </w:tc>
      </w:tr>
      <w:tr w:rsidR="005E1193" w14:paraId="37AA1479" w14:textId="77777777" w:rsidTr="008A4449">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8A4449">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8A4449">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8A4449">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154D5B">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154D5B">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lastRenderedPageBreak/>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宋体"/>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lastRenderedPageBreak/>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lastRenderedPageBreak/>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154D5B">
        <w:tc>
          <w:tcPr>
            <w:tcW w:w="1454" w:type="dxa"/>
          </w:tcPr>
          <w:p w14:paraId="05285222" w14:textId="3DDBB4D6" w:rsidR="00AB77EC" w:rsidRDefault="00AB77EC"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154D5B">
        <w:tc>
          <w:tcPr>
            <w:tcW w:w="1454" w:type="dxa"/>
          </w:tcPr>
          <w:p w14:paraId="1EFD7F42" w14:textId="7AC727E4" w:rsidR="00640F67" w:rsidRDefault="00640F67"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bl>
    <w:p w14:paraId="6139EBF9" w14:textId="77777777" w:rsidR="0005260F" w:rsidRDefault="0005260F" w:rsidP="0005260F">
      <w:pPr>
        <w:pStyle w:val="3GPPText"/>
      </w:pPr>
      <w:r>
        <w:t xml:space="preserve"> </w:t>
      </w: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t xml:space="preserve">Aspect 3 – Enhancements for positioning of </w:t>
      </w:r>
      <w:proofErr w:type="spellStart"/>
      <w:r>
        <w:t>RedCap</w:t>
      </w:r>
      <w:proofErr w:type="spellEnd"/>
      <w:r>
        <w:t xml:space="preserve">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lastRenderedPageBreak/>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w:t>
      </w:r>
      <w:proofErr w:type="spellStart"/>
      <w:r w:rsidR="004E41C8">
        <w:rPr>
          <w:lang w:val="en-GB"/>
        </w:rPr>
        <w:t>RedCap</w:t>
      </w:r>
      <w:proofErr w:type="spellEnd"/>
      <w:r w:rsidR="004E41C8">
        <w:rPr>
          <w:lang w:val="en-GB"/>
        </w:rPr>
        <w:t xml:space="preserve">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宋体"/>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华文仿宋"/>
                <w:b/>
                <w:i/>
                <w:kern w:val="24"/>
              </w:rPr>
              <w:t>drx-ShortCycleTimer</w:t>
            </w:r>
            <w:proofErr w:type="spellEnd"/>
            <w:r w:rsidRPr="004501E4">
              <w:rPr>
                <w:rFonts w:eastAsia="华文仿宋"/>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lastRenderedPageBreak/>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lastRenderedPageBreak/>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w:t>
            </w:r>
            <w:proofErr w:type="spellStart"/>
            <w:r>
              <w:t>RedCap</w:t>
            </w:r>
            <w:proofErr w:type="spellEnd"/>
            <w:r>
              <w:t xml:space="preserve">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lastRenderedPageBreak/>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lastRenderedPageBreak/>
              <w:t>[13]</w:t>
            </w:r>
          </w:p>
        </w:tc>
        <w:tc>
          <w:tcPr>
            <w:tcW w:w="9027" w:type="dxa"/>
          </w:tcPr>
          <w:p w14:paraId="0FDAEA0B" w14:textId="77777777" w:rsidR="00534365" w:rsidRPr="00D85D78" w:rsidRDefault="00534365" w:rsidP="008A4449">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lastRenderedPageBreak/>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lastRenderedPageBreak/>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8A4449">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154D5B">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lastRenderedPageBreak/>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154D5B">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lastRenderedPageBreak/>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to have higher capabilities, which may exceed the ‘reduced capability’ of UE. For example, for DL frequency hopping, the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154D5B">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154D5B">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154D5B">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t>Group based SRS transmission</w:t>
      </w:r>
    </w:p>
    <w:p w14:paraId="3DA0A9CF" w14:textId="77777777" w:rsidR="00D02653" w:rsidRPr="009707B0" w:rsidRDefault="00D02653">
      <w:pPr>
        <w:pStyle w:val="ListParagraph"/>
        <w:numPr>
          <w:ilvl w:val="0"/>
          <w:numId w:val="3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579F3A85" w14:textId="77777777" w:rsidR="00D02653" w:rsidRPr="009707B0" w:rsidRDefault="00146573">
      <w:pPr>
        <w:pStyle w:val="ListParagraph"/>
        <w:numPr>
          <w:ilvl w:val="0"/>
          <w:numId w:val="3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294F5BB" w14:textId="77777777" w:rsidR="00146573" w:rsidRPr="009707B0" w:rsidRDefault="00AF67AD">
      <w:pPr>
        <w:pStyle w:val="ListParagraph"/>
        <w:numPr>
          <w:ilvl w:val="0"/>
          <w:numId w:val="3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8A4449">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154D5B">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 xml:space="preserve">arrier phase positioning for </w:t>
            </w:r>
            <w:proofErr w:type="spellStart"/>
            <w:r w:rsidRPr="006068EB">
              <w:rPr>
                <w:rFonts w:eastAsiaTheme="minorEastAsia"/>
                <w:sz w:val="20"/>
              </w:rPr>
              <w:t>RedCap</w:t>
            </w:r>
            <w:proofErr w:type="spellEnd"/>
            <w:r w:rsidRPr="006068EB">
              <w:rPr>
                <w:rFonts w:eastAsiaTheme="minorEastAsia"/>
                <w:sz w:val="20"/>
              </w:rPr>
              <w:t xml:space="preserve"> UEs</w:t>
            </w:r>
            <w:r>
              <w:rPr>
                <w:rFonts w:eastAsiaTheme="minorEastAsia" w:hint="eastAsia"/>
                <w:sz w:val="20"/>
              </w:rPr>
              <w:t>.</w:t>
            </w:r>
          </w:p>
        </w:tc>
      </w:tr>
      <w:tr w:rsidR="00D96B2F" w14:paraId="12824922" w14:textId="77777777" w:rsidTr="00154D5B">
        <w:tc>
          <w:tcPr>
            <w:tcW w:w="1454" w:type="dxa"/>
          </w:tcPr>
          <w:p w14:paraId="5FA72210" w14:textId="7161805B" w:rsidR="00D96B2F" w:rsidRDefault="00D96B2F"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w:t>
            </w:r>
            <w:proofErr w:type="spellStart"/>
            <w:r>
              <w:rPr>
                <w:rFonts w:eastAsiaTheme="minorEastAsia"/>
                <w:sz w:val="20"/>
              </w:rPr>
              <w:t>RedCap</w:t>
            </w:r>
            <w:proofErr w:type="spellEnd"/>
            <w:r>
              <w:rPr>
                <w:rFonts w:eastAsiaTheme="minorEastAsia"/>
                <w:sz w:val="20"/>
              </w:rPr>
              <w:t xml:space="preserve"> UEs. </w:t>
            </w:r>
          </w:p>
        </w:tc>
      </w:tr>
      <w:tr w:rsidR="00152FD1" w14:paraId="6CF2478C" w14:textId="77777777" w:rsidTr="00154D5B">
        <w:tc>
          <w:tcPr>
            <w:tcW w:w="1454" w:type="dxa"/>
          </w:tcPr>
          <w:p w14:paraId="3F7DE061" w14:textId="2404BABE" w:rsidR="00152FD1" w:rsidRDefault="00152FD1"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154D5B">
        <w:tc>
          <w:tcPr>
            <w:tcW w:w="1454" w:type="dxa"/>
          </w:tcPr>
          <w:p w14:paraId="5482DAAF" w14:textId="152C9F22" w:rsidR="00AE1BF0" w:rsidRDefault="00AE1BF0" w:rsidP="00154D5B">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w:t>
            </w:r>
            <w:proofErr w:type="gramStart"/>
            <w:r>
              <w:rPr>
                <w:rFonts w:eastAsiaTheme="minorEastAsia"/>
                <w:sz w:val="20"/>
              </w:rPr>
              <w:t>these directions/solution</w:t>
            </w:r>
            <w:proofErr w:type="gramEnd"/>
            <w:r>
              <w:rPr>
                <w:rFonts w:eastAsiaTheme="minorEastAsia"/>
                <w:sz w:val="20"/>
              </w:rPr>
              <w:t xml:space="preserve">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w:t>
            </w:r>
            <w:proofErr w:type="gramStart"/>
            <w:r w:rsidR="00ED035D">
              <w:rPr>
                <w:rFonts w:eastAsiaTheme="minorEastAsia"/>
                <w:sz w:val="20"/>
              </w:rPr>
              <w:t>companies</w:t>
            </w:r>
            <w:proofErr w:type="gramEnd"/>
            <w:r w:rsidR="00ED035D">
              <w:rPr>
                <w:rFonts w:eastAsiaTheme="minorEastAsia"/>
                <w:sz w:val="20"/>
              </w:rPr>
              <w:t xml:space="preserve">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e.g., the agreed KPI eventually, the gain, the cost etc. </w:t>
            </w:r>
            <w:r w:rsidR="000312E6">
              <w:rPr>
                <w:rFonts w:eastAsiaTheme="minorEastAsia"/>
                <w:sz w:val="20"/>
              </w:rPr>
              <w:t xml:space="preserve">so we suggest to postpone on this question. </w:t>
            </w:r>
          </w:p>
        </w:tc>
      </w:tr>
    </w:tbl>
    <w:p w14:paraId="243A9DB0" w14:textId="77777777" w:rsidR="00FF2069" w:rsidRDefault="00FF2069" w:rsidP="00FF2069">
      <w:pPr>
        <w:pStyle w:val="0maintext"/>
        <w:rPr>
          <w:sz w:val="20"/>
          <w:szCs w:val="20"/>
          <w:lang w:val="en-GB"/>
        </w:rPr>
      </w:pPr>
    </w:p>
    <w:p w14:paraId="77C0257A" w14:textId="77777777" w:rsidR="009C7F25" w:rsidRDefault="009C7F25" w:rsidP="009707B0">
      <w:pPr>
        <w:pStyle w:val="Heading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lastRenderedPageBreak/>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w:t>
      </w:r>
      <w:proofErr w:type="spellStart"/>
      <w:r>
        <w:t>RedCap</w:t>
      </w:r>
      <w:proofErr w:type="spellEnd"/>
      <w:r>
        <w:t xml:space="preserve">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Heading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宋体"/>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宋体"/>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宋体"/>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宋体"/>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宋体"/>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w:t>
            </w:r>
          </w:p>
          <w:p w14:paraId="7504783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宋体"/>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宋体"/>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宋体"/>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宋体"/>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宋体"/>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宋体"/>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宋体"/>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Description of Measurement Algorithm (</w:t>
            </w:r>
            <w:proofErr w:type="gramStart"/>
            <w:r>
              <w:rPr>
                <w:rStyle w:val="TALCar"/>
                <w:rFonts w:eastAsia="宋体"/>
                <w:sz w:val="16"/>
                <w:szCs w:val="16"/>
                <w:lang w:val="en-US"/>
              </w:rPr>
              <w:t>e.g.</w:t>
            </w:r>
            <w:proofErr w:type="gramEnd"/>
            <w:r>
              <w:rPr>
                <w:rStyle w:val="TALCar"/>
                <w:rFonts w:eastAsia="宋体"/>
                <w:sz w:val="16"/>
                <w:szCs w:val="16"/>
                <w:lang w:val="en-US"/>
              </w:rPr>
              <w:t xml:space="preserve"> super resolution, interference cancellation, ….)</w:t>
            </w:r>
          </w:p>
        </w:tc>
        <w:tc>
          <w:tcPr>
            <w:tcW w:w="1134" w:type="dxa"/>
            <w:vAlign w:val="center"/>
          </w:tcPr>
          <w:p w14:paraId="48F6B91E" w14:textId="77777777" w:rsidR="00C77C67" w:rsidRDefault="00C77C67" w:rsidP="008A4449">
            <w:pPr>
              <w:pStyle w:val="TAC"/>
              <w:rPr>
                <w:rStyle w:val="TALCar"/>
                <w:rFonts w:eastAsia="宋体"/>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宋体"/>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宋体"/>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宋体"/>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宋体"/>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宋体"/>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宋体"/>
                <w:sz w:val="16"/>
                <w:szCs w:val="16"/>
                <w:lang w:val="en-US"/>
              </w:rPr>
            </w:pPr>
            <w:r w:rsidRPr="00F136D6">
              <w:rPr>
                <w:rStyle w:val="TALCar"/>
                <w:rFonts w:eastAsia="宋体"/>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宋体"/>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宋体"/>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5" w:name="_Toc55965348"/>
      <w:r>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宋体" w:cs="Arial"/>
                <w:sz w:val="16"/>
                <w:szCs w:val="16"/>
                <w:lang w:val="en-US"/>
              </w:rPr>
            </w:pPr>
            <w:r>
              <w:rPr>
                <w:rStyle w:val="TALCar"/>
                <w:rFonts w:eastAsia="宋体" w:cs="Arial" w:hint="eastAsia"/>
                <w:sz w:val="16"/>
                <w:szCs w:val="16"/>
                <w:lang w:val="en-US"/>
              </w:rPr>
              <w:t>C</w:t>
            </w:r>
            <w:r>
              <w:rPr>
                <w:rStyle w:val="TALCar"/>
                <w:rFonts w:eastAsia="宋体" w:cs="Arial"/>
                <w:sz w:val="16"/>
                <w:szCs w:val="16"/>
                <w:lang w:val="en-US"/>
              </w:rPr>
              <w:t>ases</w:t>
            </w:r>
          </w:p>
        </w:tc>
        <w:tc>
          <w:tcPr>
            <w:tcW w:w="1332" w:type="dxa"/>
          </w:tcPr>
          <w:p w14:paraId="583F8C9B" w14:textId="77777777" w:rsidR="00F87ECB" w:rsidRDefault="00F87ECB" w:rsidP="008A4449">
            <w:pPr>
              <w:pStyle w:val="TAC"/>
              <w:rPr>
                <w:rStyle w:val="TALCar"/>
                <w:rFonts w:eastAsia="宋体" w:cs="Arial"/>
                <w:sz w:val="16"/>
                <w:szCs w:val="16"/>
                <w:lang w:val="en-US"/>
              </w:rPr>
            </w:pPr>
          </w:p>
        </w:tc>
        <w:tc>
          <w:tcPr>
            <w:tcW w:w="1332" w:type="dxa"/>
            <w:vAlign w:val="center"/>
          </w:tcPr>
          <w:p w14:paraId="1901F70B"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宋体"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宋体" w:cs="Arial"/>
                <w:sz w:val="16"/>
                <w:szCs w:val="16"/>
                <w:lang w:val="en-US"/>
              </w:rPr>
            </w:pPr>
          </w:p>
        </w:tc>
        <w:tc>
          <w:tcPr>
            <w:tcW w:w="1333" w:type="dxa"/>
            <w:vAlign w:val="center"/>
          </w:tcPr>
          <w:p w14:paraId="72828BFF" w14:textId="77777777" w:rsidR="00F87ECB" w:rsidRDefault="00F87ECB" w:rsidP="008A4449">
            <w:pPr>
              <w:pStyle w:val="TAC"/>
              <w:rPr>
                <w:rStyle w:val="TALCar"/>
                <w:rFonts w:eastAsia="宋体" w:cs="Arial"/>
                <w:sz w:val="16"/>
                <w:szCs w:val="16"/>
                <w:lang w:val="en-US"/>
              </w:rPr>
            </w:pPr>
          </w:p>
        </w:tc>
        <w:tc>
          <w:tcPr>
            <w:tcW w:w="1332" w:type="dxa"/>
            <w:vAlign w:val="center"/>
          </w:tcPr>
          <w:p w14:paraId="1541A608" w14:textId="77777777" w:rsidR="00F87ECB" w:rsidRDefault="00F87ECB" w:rsidP="008A4449">
            <w:pPr>
              <w:pStyle w:val="TAC"/>
              <w:rPr>
                <w:rStyle w:val="TALCar"/>
                <w:rFonts w:eastAsia="宋体" w:cs="Arial"/>
                <w:sz w:val="16"/>
                <w:szCs w:val="16"/>
                <w:lang w:val="en-US"/>
              </w:rPr>
            </w:pPr>
          </w:p>
        </w:tc>
        <w:tc>
          <w:tcPr>
            <w:tcW w:w="1333" w:type="dxa"/>
            <w:vAlign w:val="center"/>
          </w:tcPr>
          <w:p w14:paraId="128B4611" w14:textId="77777777" w:rsidR="00F87ECB" w:rsidRDefault="00F87ECB" w:rsidP="008A4449">
            <w:pPr>
              <w:pStyle w:val="TAC"/>
              <w:rPr>
                <w:rStyle w:val="TALCar"/>
                <w:rFonts w:eastAsia="宋体"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宋体" w:cs="Arial"/>
                <w:sz w:val="16"/>
                <w:szCs w:val="16"/>
                <w:lang w:val="en-US"/>
              </w:rPr>
            </w:pPr>
          </w:p>
        </w:tc>
        <w:tc>
          <w:tcPr>
            <w:tcW w:w="1332" w:type="dxa"/>
          </w:tcPr>
          <w:p w14:paraId="42F1C15E"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宋体" w:cs="Arial"/>
                <w:sz w:val="16"/>
                <w:szCs w:val="16"/>
                <w:lang w:val="en-US"/>
              </w:rPr>
            </w:pPr>
          </w:p>
        </w:tc>
        <w:tc>
          <w:tcPr>
            <w:tcW w:w="1333" w:type="dxa"/>
            <w:vAlign w:val="center"/>
          </w:tcPr>
          <w:p w14:paraId="7D9519A6" w14:textId="77777777" w:rsidR="00F87ECB" w:rsidRDefault="00F87ECB" w:rsidP="008A4449">
            <w:pPr>
              <w:pStyle w:val="TAC"/>
              <w:rPr>
                <w:rStyle w:val="TALCar"/>
                <w:rFonts w:eastAsia="宋体" w:cs="Arial"/>
                <w:sz w:val="16"/>
                <w:szCs w:val="16"/>
                <w:lang w:val="en-US"/>
              </w:rPr>
            </w:pPr>
          </w:p>
        </w:tc>
        <w:tc>
          <w:tcPr>
            <w:tcW w:w="1332" w:type="dxa"/>
            <w:vAlign w:val="center"/>
          </w:tcPr>
          <w:p w14:paraId="5C05EA44" w14:textId="77777777" w:rsidR="00F87ECB" w:rsidRDefault="00F87ECB" w:rsidP="008A4449">
            <w:pPr>
              <w:pStyle w:val="TAC"/>
              <w:rPr>
                <w:rStyle w:val="TALCar"/>
                <w:rFonts w:eastAsia="宋体" w:cs="Arial"/>
                <w:sz w:val="16"/>
                <w:szCs w:val="16"/>
                <w:lang w:val="en-US"/>
              </w:rPr>
            </w:pPr>
          </w:p>
        </w:tc>
        <w:tc>
          <w:tcPr>
            <w:tcW w:w="1333" w:type="dxa"/>
            <w:vAlign w:val="center"/>
          </w:tcPr>
          <w:p w14:paraId="69F9215F" w14:textId="77777777" w:rsidR="00F87ECB" w:rsidRDefault="00F87ECB" w:rsidP="008A4449">
            <w:pPr>
              <w:pStyle w:val="TAC"/>
              <w:rPr>
                <w:rStyle w:val="TALCar"/>
                <w:rFonts w:eastAsia="宋体"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D6F7" w14:textId="77777777" w:rsidR="00B535A5" w:rsidRDefault="00B535A5">
      <w:pPr>
        <w:spacing w:after="0"/>
      </w:pPr>
      <w:r>
        <w:separator/>
      </w:r>
    </w:p>
  </w:endnote>
  <w:endnote w:type="continuationSeparator" w:id="0">
    <w:p w14:paraId="65C2CBCC" w14:textId="77777777" w:rsidR="00B535A5" w:rsidRDefault="00B535A5">
      <w:pPr>
        <w:spacing w:after="0"/>
      </w:pPr>
      <w:r>
        <w:continuationSeparator/>
      </w:r>
    </w:p>
  </w:endnote>
  <w:endnote w:type="continuationNotice" w:id="1">
    <w:p w14:paraId="18C5E5A3" w14:textId="77777777" w:rsidR="00B535A5" w:rsidRDefault="00B535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77777777"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96B2F">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96B2F">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DB8E" w14:textId="77777777" w:rsidR="00B535A5" w:rsidRDefault="00B535A5">
      <w:pPr>
        <w:spacing w:after="0"/>
      </w:pPr>
      <w:r>
        <w:separator/>
      </w:r>
    </w:p>
  </w:footnote>
  <w:footnote w:type="continuationSeparator" w:id="0">
    <w:p w14:paraId="41ECCA7C" w14:textId="77777777" w:rsidR="00B535A5" w:rsidRDefault="00B535A5">
      <w:pPr>
        <w:spacing w:after="0"/>
      </w:pPr>
      <w:r>
        <w:continuationSeparator/>
      </w:r>
    </w:p>
  </w:footnote>
  <w:footnote w:type="continuationNotice" w:id="1">
    <w:p w14:paraId="6742C56E" w14:textId="77777777" w:rsidR="00B535A5" w:rsidRDefault="00B535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宋体"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宋体"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宋体"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8"/>
  </w:num>
  <w:num w:numId="3">
    <w:abstractNumId w:val="23"/>
  </w:num>
  <w:num w:numId="4">
    <w:abstractNumId w:val="8"/>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6"/>
  </w:num>
  <w:num w:numId="8">
    <w:abstractNumId w:val="30"/>
  </w:num>
  <w:num w:numId="9">
    <w:abstractNumId w:val="24"/>
  </w:num>
  <w:num w:numId="10">
    <w:abstractNumId w:val="3"/>
  </w:num>
  <w:num w:numId="11">
    <w:abstractNumId w:val="17"/>
  </w:num>
  <w:num w:numId="12">
    <w:abstractNumId w:val="26"/>
  </w:num>
  <w:num w:numId="13">
    <w:abstractNumId w:val="6"/>
  </w:num>
  <w:num w:numId="14">
    <w:abstractNumId w:val="5"/>
  </w:num>
  <w:num w:numId="15">
    <w:abstractNumId w:val="14"/>
  </w:num>
  <w:num w:numId="16">
    <w:abstractNumId w:val="27"/>
  </w:num>
  <w:num w:numId="17">
    <w:abstractNumId w:val="29"/>
  </w:num>
  <w:num w:numId="18">
    <w:abstractNumId w:val="1"/>
  </w:num>
  <w:num w:numId="19">
    <w:abstractNumId w:val="35"/>
  </w:num>
  <w:num w:numId="20">
    <w:abstractNumId w:val="20"/>
  </w:num>
  <w:num w:numId="21">
    <w:abstractNumId w:val="4"/>
  </w:num>
  <w:num w:numId="22">
    <w:abstractNumId w:val="31"/>
  </w:num>
  <w:num w:numId="23">
    <w:abstractNumId w:val="28"/>
  </w:num>
  <w:num w:numId="24">
    <w:abstractNumId w:val="19"/>
  </w:num>
  <w:num w:numId="25">
    <w:abstractNumId w:val="10"/>
  </w:num>
  <w:num w:numId="26">
    <w:abstractNumId w:val="12"/>
  </w:num>
  <w:num w:numId="27">
    <w:abstractNumId w:val="21"/>
  </w:num>
  <w:num w:numId="28">
    <w:abstractNumId w:val="22"/>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33"/>
  </w:num>
  <w:num w:numId="35">
    <w:abstractNumId w:val="15"/>
  </w:num>
  <w:num w:numId="36">
    <w:abstractNumId w:val="1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宋体"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宋体"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宋体"/>
      <w:sz w:val="18"/>
      <w:szCs w:val="18"/>
    </w:rPr>
  </w:style>
  <w:style w:type="character" w:customStyle="1" w:styleId="DocumentMapChar">
    <w:name w:val="Document Map Char"/>
    <w:basedOn w:val="DefaultParagraphFont"/>
    <w:link w:val="DocumentMap"/>
    <w:uiPriority w:val="99"/>
    <w:semiHidden/>
    <w:qFormat/>
    <w:rsid w:val="00BB5C1C"/>
    <w:rPr>
      <w:rFonts w:ascii="宋体" w:eastAsia="宋体"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F88480-B024-44B2-B5C9-62ED6952263D}">
  <ds:schemaRefs>
    <ds:schemaRef ds:uri="http://schemas.openxmlformats.org/officeDocument/2006/bibliography"/>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5907</Words>
  <Characters>33676</Characters>
  <Application>Microsoft Office Word</Application>
  <DocSecurity>0</DocSecurity>
  <Lines>280</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Qi Xiong/PHY Research &amp; Standard Lab /SRC-Beijing/Staff Engineer/Samsung Electronics</cp:lastModifiedBy>
  <cp:revision>2</cp:revision>
  <dcterms:created xsi:type="dcterms:W3CDTF">2022-08-22T01:47:00Z</dcterms:created>
  <dcterms:modified xsi:type="dcterms:W3CDTF">2022-08-22T01:47:00Z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