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4DFE48E8" w14:textId="77777777" w:rsidR="002767F4" w:rsidRDefault="002767F4">
      <w:pPr>
        <w:pStyle w:val="3GPPNormalText"/>
        <w:spacing w:after="0"/>
      </w:pPr>
    </w:p>
    <w:p w14:paraId="2F3FC453" w14:textId="77777777" w:rsidR="002767F4" w:rsidRDefault="001C679F">
      <w:pPr>
        <w:pStyle w:val="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af6"/>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afe"/>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afe"/>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2"/>
        <w:ind w:left="540"/>
      </w:pPr>
      <w:r>
        <w:t>[</w:t>
      </w:r>
      <w:r>
        <w:rPr>
          <w:i/>
        </w:rPr>
        <w:t>CLOSED</w:t>
      </w:r>
      <w:r>
        <w:t>] Issue 1-1: Type A Devices</w:t>
      </w:r>
    </w:p>
    <w:p w14:paraId="1391438D" w14:textId="77777777" w:rsidR="002767F4" w:rsidRDefault="001C679F">
      <w:pPr>
        <w:pStyle w:val="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afe"/>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r>
              <w:rPr>
                <w:sz w:val="22"/>
              </w:rPr>
              <w:lastRenderedPageBreak/>
              <w:t>Transsion</w:t>
            </w:r>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afe"/>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afe"/>
              <w:numPr>
                <w:ilvl w:val="0"/>
                <w:numId w:val="12"/>
              </w:numPr>
              <w:spacing w:line="280" w:lineRule="atLeast"/>
            </w:pPr>
            <w:r>
              <w:t>The first bullet does not add anything new.</w:t>
            </w:r>
          </w:p>
          <w:p w14:paraId="68D89C11" w14:textId="77777777" w:rsidR="002767F4" w:rsidRDefault="001C679F">
            <w:pPr>
              <w:pStyle w:val="afe"/>
              <w:numPr>
                <w:ilvl w:val="0"/>
                <w:numId w:val="12"/>
              </w:numPr>
              <w:spacing w:line="280" w:lineRule="atLeast"/>
            </w:pPr>
            <w:r>
              <w:t>What is the intention of the second bullet? The Rel-16 coex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not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2"/>
        <w:ind w:left="540"/>
      </w:pPr>
      <w:r>
        <w:t xml:space="preserve"> [</w:t>
      </w:r>
      <w:r>
        <w:rPr>
          <w:i/>
        </w:rPr>
        <w:t>ACTIVE</w:t>
      </w:r>
      <w:r>
        <w:t>] Issue 1-2: Type B Devices</w:t>
      </w:r>
    </w:p>
    <w:p w14:paraId="7F8731AB" w14:textId="77777777" w:rsidR="002767F4" w:rsidRDefault="001C679F">
      <w:pPr>
        <w:pStyle w:val="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12805D9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19357C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(incl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If device type B is considered in Rel-18 co-channel coex,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“Ues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afe"/>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D31FEF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afe"/>
        <w:ind w:left="1080"/>
        <w:jc w:val="both"/>
        <w:rPr>
          <w:rFonts w:ascii="Times New Roman" w:eastAsia="MS Mincho" w:hAnsi="Times New Roman"/>
          <w:b/>
          <w:szCs w:val="24"/>
        </w:rPr>
      </w:pPr>
    </w:p>
    <w:p w14:paraId="6C14819A" w14:textId="77777777" w:rsidR="002767F4" w:rsidRDefault="001C679F">
      <w:pPr>
        <w:pStyle w:val="4"/>
        <w:tabs>
          <w:tab w:val="left" w:pos="568"/>
        </w:tabs>
        <w:ind w:left="900"/>
        <w:rPr>
          <w:lang w:val="en-US"/>
        </w:rPr>
      </w:pPr>
      <w:r>
        <w:rPr>
          <w:lang w:val="en-US"/>
        </w:rPr>
        <w:t>Comments for Proposal 1-2a</w:t>
      </w:r>
    </w:p>
    <w:tbl>
      <w:tblPr>
        <w:tblStyle w:val="af6"/>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afe"/>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For the first subbullet,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r>
              <w:rPr>
                <w:rFonts w:hint="eastAsia"/>
                <w:sz w:val="22"/>
                <w:lang w:eastAsia="zh-CN"/>
              </w:rPr>
              <w:t>ZTE,Sanechips</w:t>
            </w:r>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Yes (we support support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afe"/>
        <w:ind w:left="0"/>
        <w:jc w:val="both"/>
        <w:rPr>
          <w:rFonts w:ascii="Times New Roman" w:eastAsia="MS Mincho" w:hAnsi="Times New Roman"/>
          <w:b/>
          <w:szCs w:val="24"/>
          <w:lang w:val="en-GB"/>
        </w:rPr>
      </w:pPr>
    </w:p>
    <w:p w14:paraId="042DDA36" w14:textId="77777777" w:rsidR="002767F4" w:rsidRDefault="001C679F">
      <w:pPr>
        <w:pStyle w:val="4"/>
        <w:tabs>
          <w:tab w:val="left" w:pos="568"/>
        </w:tabs>
        <w:ind w:left="900"/>
        <w:rPr>
          <w:lang w:val="en-US"/>
        </w:rPr>
      </w:pPr>
      <w:r>
        <w:rPr>
          <w:lang w:val="en-US"/>
        </w:rPr>
        <w:t>Comments for Proposal 1-2b</w:t>
      </w:r>
    </w:p>
    <w:tbl>
      <w:tblPr>
        <w:tblStyle w:val="af6"/>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afe"/>
        <w:ind w:left="0"/>
        <w:jc w:val="both"/>
        <w:rPr>
          <w:rFonts w:ascii="Times New Roman" w:eastAsia="MS Mincho" w:hAnsi="Times New Roman"/>
          <w:b/>
          <w:szCs w:val="24"/>
          <w:lang w:val="en-GB"/>
        </w:rPr>
      </w:pPr>
    </w:p>
    <w:p w14:paraId="42AC5205" w14:textId="77777777" w:rsidR="002767F4" w:rsidRDefault="001C679F">
      <w:pPr>
        <w:pStyle w:val="4"/>
        <w:tabs>
          <w:tab w:val="left" w:pos="568"/>
        </w:tabs>
        <w:ind w:left="900"/>
        <w:rPr>
          <w:lang w:val="en-US"/>
        </w:rPr>
      </w:pPr>
      <w:r>
        <w:rPr>
          <w:lang w:val="en-US"/>
        </w:rPr>
        <w:t>Comments for Proposal 1-2c</w:t>
      </w:r>
    </w:p>
    <w:tbl>
      <w:tblPr>
        <w:tblStyle w:val="af6"/>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2D6848" w14:textId="77777777">
        <w:trPr>
          <w:trHeight w:val="158"/>
        </w:trPr>
        <w:tc>
          <w:tcPr>
            <w:tcW w:w="1680" w:type="dxa"/>
          </w:tcPr>
          <w:p w14:paraId="4EC6DC40" w14:textId="77777777" w:rsidR="002767F4" w:rsidRDefault="001C679F">
            <w:pPr>
              <w:spacing w:before="0" w:after="0" w:line="280" w:lineRule="atLeast"/>
              <w:rPr>
                <w:b/>
                <w:bCs/>
                <w:sz w:val="22"/>
              </w:rPr>
            </w:pPr>
            <w:r>
              <w:rPr>
                <w:b/>
                <w:bCs/>
                <w:sz w:val="22"/>
              </w:rPr>
              <w:t>Company</w:t>
            </w:r>
          </w:p>
        </w:tc>
        <w:tc>
          <w:tcPr>
            <w:tcW w:w="1735" w:type="dxa"/>
          </w:tcPr>
          <w:p w14:paraId="3DFC4FD4" w14:textId="77777777" w:rsidR="002767F4" w:rsidRDefault="001C679F">
            <w:pPr>
              <w:spacing w:before="0" w:after="0" w:line="280" w:lineRule="atLeast"/>
              <w:rPr>
                <w:b/>
                <w:bCs/>
                <w:sz w:val="22"/>
              </w:rPr>
            </w:pPr>
            <w:r>
              <w:rPr>
                <w:b/>
                <w:bCs/>
                <w:sz w:val="22"/>
              </w:rPr>
              <w:t>Yes/No</w:t>
            </w:r>
          </w:p>
        </w:tc>
        <w:tc>
          <w:tcPr>
            <w:tcW w:w="6570"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trPr>
          <w:trHeight w:val="158"/>
        </w:trPr>
        <w:tc>
          <w:tcPr>
            <w:tcW w:w="1680" w:type="dxa"/>
          </w:tcPr>
          <w:p w14:paraId="3B069129" w14:textId="77777777" w:rsidR="002767F4" w:rsidRDefault="001C679F">
            <w:pPr>
              <w:spacing w:before="0" w:after="0" w:line="280" w:lineRule="atLeast"/>
              <w:rPr>
                <w:sz w:val="22"/>
              </w:rPr>
            </w:pPr>
            <w:r>
              <w:rPr>
                <w:sz w:val="22"/>
              </w:rPr>
              <w:t>Toyota</w:t>
            </w:r>
          </w:p>
        </w:tc>
        <w:tc>
          <w:tcPr>
            <w:tcW w:w="1735" w:type="dxa"/>
          </w:tcPr>
          <w:p w14:paraId="05FBA73E" w14:textId="77777777" w:rsidR="002767F4" w:rsidRDefault="001C679F">
            <w:pPr>
              <w:spacing w:before="0" w:after="0" w:line="280" w:lineRule="atLeast"/>
              <w:rPr>
                <w:sz w:val="22"/>
              </w:rPr>
            </w:pPr>
            <w:r>
              <w:rPr>
                <w:sz w:val="22"/>
              </w:rPr>
              <w:t>No</w:t>
            </w:r>
          </w:p>
        </w:tc>
        <w:tc>
          <w:tcPr>
            <w:tcW w:w="6570"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trPr>
          <w:trHeight w:val="158"/>
        </w:trPr>
        <w:tc>
          <w:tcPr>
            <w:tcW w:w="1680" w:type="dxa"/>
          </w:tcPr>
          <w:p w14:paraId="2853AA1C" w14:textId="77777777" w:rsidR="002767F4" w:rsidRDefault="001C679F">
            <w:pPr>
              <w:spacing w:before="0" w:after="0" w:line="280" w:lineRule="atLeast"/>
              <w:rPr>
                <w:sz w:val="22"/>
              </w:rPr>
            </w:pPr>
            <w:r>
              <w:rPr>
                <w:sz w:val="22"/>
              </w:rPr>
              <w:t>Qualcomm</w:t>
            </w:r>
          </w:p>
        </w:tc>
        <w:tc>
          <w:tcPr>
            <w:tcW w:w="1735" w:type="dxa"/>
          </w:tcPr>
          <w:p w14:paraId="2CB1AD0B" w14:textId="77777777" w:rsidR="002767F4" w:rsidRDefault="001C679F">
            <w:pPr>
              <w:spacing w:before="0" w:after="0" w:line="280" w:lineRule="atLeast"/>
              <w:rPr>
                <w:sz w:val="22"/>
              </w:rPr>
            </w:pPr>
            <w:r>
              <w:rPr>
                <w:sz w:val="22"/>
              </w:rPr>
              <w:t>Yes</w:t>
            </w:r>
          </w:p>
        </w:tc>
        <w:tc>
          <w:tcPr>
            <w:tcW w:w="6570" w:type="dxa"/>
          </w:tcPr>
          <w:p w14:paraId="374853AA" w14:textId="77777777" w:rsidR="002767F4" w:rsidRDefault="002767F4">
            <w:pPr>
              <w:spacing w:before="0" w:after="0" w:line="280" w:lineRule="atLeast"/>
              <w:rPr>
                <w:sz w:val="22"/>
              </w:rPr>
            </w:pPr>
          </w:p>
        </w:tc>
      </w:tr>
      <w:tr w:rsidR="002767F4" w14:paraId="60775293" w14:textId="77777777">
        <w:trPr>
          <w:trHeight w:val="158"/>
        </w:trPr>
        <w:tc>
          <w:tcPr>
            <w:tcW w:w="1680" w:type="dxa"/>
          </w:tcPr>
          <w:p w14:paraId="63E7C071" w14:textId="77777777" w:rsidR="002767F4" w:rsidRDefault="001C679F">
            <w:pPr>
              <w:spacing w:before="0" w:after="0" w:line="280" w:lineRule="atLeast"/>
              <w:rPr>
                <w:sz w:val="22"/>
              </w:rPr>
            </w:pPr>
            <w:r>
              <w:rPr>
                <w:sz w:val="22"/>
              </w:rPr>
              <w:t>Intel</w:t>
            </w:r>
          </w:p>
        </w:tc>
        <w:tc>
          <w:tcPr>
            <w:tcW w:w="1735" w:type="dxa"/>
          </w:tcPr>
          <w:p w14:paraId="4CCE89CA" w14:textId="77777777" w:rsidR="002767F4" w:rsidRDefault="001C679F">
            <w:pPr>
              <w:spacing w:before="0" w:after="0" w:line="280" w:lineRule="atLeast"/>
              <w:rPr>
                <w:sz w:val="22"/>
              </w:rPr>
            </w:pPr>
            <w:r>
              <w:rPr>
                <w:sz w:val="22"/>
              </w:rPr>
              <w:t>Yes</w:t>
            </w:r>
          </w:p>
        </w:tc>
        <w:tc>
          <w:tcPr>
            <w:tcW w:w="6570"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trPr>
          <w:trHeight w:val="158"/>
        </w:trPr>
        <w:tc>
          <w:tcPr>
            <w:tcW w:w="1680"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trPr>
          <w:trHeight w:val="158"/>
        </w:trPr>
        <w:tc>
          <w:tcPr>
            <w:tcW w:w="1680" w:type="dxa"/>
          </w:tcPr>
          <w:p w14:paraId="5DDBDF42"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3D9E8B9A" w14:textId="77777777" w:rsidR="002767F4" w:rsidRPr="00062204" w:rsidRDefault="002767F4">
            <w:pPr>
              <w:spacing w:before="0" w:after="0" w:line="280" w:lineRule="atLeast"/>
              <w:rPr>
                <w:sz w:val="22"/>
                <w:lang w:eastAsia="zh-CN"/>
              </w:rPr>
            </w:pPr>
          </w:p>
        </w:tc>
      </w:tr>
      <w:tr w:rsidR="00062204" w14:paraId="1B66F72F" w14:textId="77777777">
        <w:trPr>
          <w:trHeight w:val="158"/>
        </w:trPr>
        <w:tc>
          <w:tcPr>
            <w:tcW w:w="1680"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5" w:type="dxa"/>
          </w:tcPr>
          <w:p w14:paraId="532D4424" w14:textId="77777777" w:rsidR="00062204" w:rsidRDefault="00062204" w:rsidP="00062204">
            <w:pPr>
              <w:spacing w:before="0" w:after="0" w:line="280" w:lineRule="atLeast"/>
              <w:rPr>
                <w:sz w:val="22"/>
                <w:lang w:val="en-US" w:eastAsia="zh-CN"/>
              </w:rPr>
            </w:pPr>
          </w:p>
        </w:tc>
        <w:tc>
          <w:tcPr>
            <w:tcW w:w="6570"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trPr>
          <w:trHeight w:val="158"/>
        </w:trPr>
        <w:tc>
          <w:tcPr>
            <w:tcW w:w="1680"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trPr>
          <w:trHeight w:val="158"/>
        </w:trPr>
        <w:tc>
          <w:tcPr>
            <w:tcW w:w="1680" w:type="dxa"/>
          </w:tcPr>
          <w:p w14:paraId="27C703BD" w14:textId="63050594" w:rsidR="00486482" w:rsidRDefault="00486482" w:rsidP="00486482">
            <w:pPr>
              <w:spacing w:after="0" w:line="280" w:lineRule="atLeast"/>
              <w:rPr>
                <w:rFonts w:hint="eastAsia"/>
                <w:sz w:val="22"/>
                <w:lang w:val="en-US" w:eastAsia="zh-CN"/>
              </w:rPr>
            </w:pPr>
            <w:r>
              <w:rPr>
                <w:rFonts w:hint="eastAsia"/>
                <w:sz w:val="22"/>
                <w:lang w:eastAsia="zh-CN"/>
              </w:rPr>
              <w:t>Sh</w:t>
            </w:r>
            <w:r>
              <w:rPr>
                <w:sz w:val="22"/>
                <w:lang w:eastAsia="zh-CN"/>
              </w:rPr>
              <w:t>arp</w:t>
            </w:r>
          </w:p>
        </w:tc>
        <w:tc>
          <w:tcPr>
            <w:tcW w:w="1735" w:type="dxa"/>
          </w:tcPr>
          <w:p w14:paraId="18E7447A" w14:textId="11270CE1" w:rsidR="00486482" w:rsidRDefault="00486482" w:rsidP="00486482">
            <w:pPr>
              <w:spacing w:after="0" w:line="280" w:lineRule="atLeast"/>
              <w:rPr>
                <w:rFonts w:hint="eastAsia"/>
                <w:sz w:val="22"/>
                <w:lang w:val="en-US" w:eastAsia="zh-CN"/>
              </w:rPr>
            </w:pPr>
            <w:r>
              <w:rPr>
                <w:rFonts w:hint="eastAsia"/>
                <w:sz w:val="22"/>
                <w:lang w:eastAsia="zh-CN"/>
              </w:rPr>
              <w:t>Y</w:t>
            </w:r>
            <w:r>
              <w:rPr>
                <w:sz w:val="22"/>
                <w:lang w:eastAsia="zh-CN"/>
              </w:rPr>
              <w:t>es</w:t>
            </w:r>
          </w:p>
        </w:tc>
        <w:tc>
          <w:tcPr>
            <w:tcW w:w="6570" w:type="dxa"/>
          </w:tcPr>
          <w:p w14:paraId="7B3AB57D" w14:textId="77777777" w:rsidR="00486482" w:rsidRPr="00062204" w:rsidRDefault="00486482" w:rsidP="00486482">
            <w:pPr>
              <w:spacing w:after="0" w:line="280" w:lineRule="atLeast"/>
              <w:rPr>
                <w:sz w:val="22"/>
                <w:lang w:val="en-US" w:eastAsia="zh-CN"/>
              </w:rPr>
            </w:pPr>
          </w:p>
        </w:tc>
      </w:tr>
    </w:tbl>
    <w:p w14:paraId="6C7AEF7A" w14:textId="77777777" w:rsidR="002767F4" w:rsidRDefault="002767F4">
      <w:pPr>
        <w:pStyle w:val="3GPPNormalText"/>
        <w:spacing w:before="240" w:after="0"/>
        <w:rPr>
          <w:b/>
        </w:rPr>
      </w:pPr>
    </w:p>
    <w:p w14:paraId="4342171A"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2"/>
        <w:ind w:left="540"/>
      </w:pPr>
      <w:r>
        <w:t>[</w:t>
      </w:r>
      <w:r>
        <w:rPr>
          <w:i/>
        </w:rPr>
        <w:t>ACTIVE</w:t>
      </w:r>
      <w:r>
        <w:t>] Issue 1-3: Device Type Coexistence</w:t>
      </w:r>
    </w:p>
    <w:p w14:paraId="5F0E0E53" w14:textId="77777777" w:rsidR="002767F4" w:rsidRDefault="001C679F">
      <w:pPr>
        <w:pStyle w:val="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lastRenderedPageBreak/>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r>
              <w:rPr>
                <w:sz w:val="22"/>
              </w:rPr>
              <w:t>Transsion</w:t>
            </w:r>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lastRenderedPageBreak/>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lastRenderedPageBreak/>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Coexistence with type D Ues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afe"/>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lastRenderedPageBreak/>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afe"/>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lastRenderedPageBreak/>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lastRenderedPageBreak/>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rFonts w:hint="eastAsia"/>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rFonts w:hint="eastAsia"/>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bl>
    <w:p w14:paraId="1C43C4D6" w14:textId="77777777" w:rsidR="002767F4" w:rsidRDefault="002767F4">
      <w:pPr>
        <w:pStyle w:val="3GPPNormalText"/>
        <w:spacing w:before="240" w:after="0"/>
        <w:rPr>
          <w:b/>
        </w:rPr>
      </w:pPr>
    </w:p>
    <w:p w14:paraId="6EE312D7"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6"/>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lastRenderedPageBreak/>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2"/>
        <w:ind w:left="540"/>
      </w:pPr>
      <w:r>
        <w:t xml:space="preserve"> [</w:t>
      </w:r>
      <w:r>
        <w:rPr>
          <w:i/>
        </w:rPr>
        <w:t>ACTIVE</w:t>
      </w:r>
      <w:r>
        <w:t>] Issue 2-1: TDM-based Semi-static Resource Pool Partitioning</w:t>
      </w:r>
    </w:p>
    <w:p w14:paraId="002B1067" w14:textId="77777777" w:rsidR="002767F4" w:rsidRDefault="001C679F">
      <w:pPr>
        <w:pStyle w:val="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cause any AGC issues to the LTE SL Ues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lastRenderedPageBreak/>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r>
              <w:rPr>
                <w:sz w:val="22"/>
              </w:rPr>
              <w:t>Transsion</w:t>
            </w:r>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lastRenderedPageBreak/>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lastRenderedPageBreak/>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lastRenderedPageBreak/>
              <w:t>Bosch</w:t>
            </w:r>
          </w:p>
        </w:tc>
        <w:tc>
          <w:tcPr>
            <w:tcW w:w="8148" w:type="dxa"/>
          </w:tcPr>
          <w:p w14:paraId="6E516208" w14:textId="77777777" w:rsidR="002767F4" w:rsidRDefault="001C679F">
            <w:pPr>
              <w:spacing w:before="0" w:after="0" w:line="280" w:lineRule="atLeast"/>
              <w:rPr>
                <w:sz w:val="22"/>
              </w:rPr>
            </w:pPr>
            <w:r>
              <w:rPr>
                <w:sz w:val="22"/>
              </w:rPr>
              <w:t>Observation 5: For Idle/in-active Ues,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We are fine with this, but we think that further specification is clearly needed. There is room for improving semi-static resource pool partitioning wrt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lastRenderedPageBreak/>
        <w:t>Conclusion 2-1 (I):</w:t>
      </w:r>
    </w:p>
    <w:p w14:paraId="135ACBE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afe"/>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lastRenderedPageBreak/>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rFonts w:hint="eastAsia"/>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rFonts w:hint="eastAsia"/>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bl>
    <w:p w14:paraId="4FAA8EBF" w14:textId="77777777" w:rsidR="002767F4" w:rsidRDefault="002767F4">
      <w:pPr>
        <w:pStyle w:val="3GPPNormalText"/>
        <w:spacing w:before="240" w:after="0"/>
        <w:rPr>
          <w:b/>
        </w:rPr>
      </w:pPr>
    </w:p>
    <w:p w14:paraId="5D330F8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2"/>
        <w:ind w:left="540"/>
      </w:pPr>
      <w:r>
        <w:t>[</w:t>
      </w:r>
      <w:r>
        <w:rPr>
          <w:i/>
        </w:rPr>
        <w:t>ACTIVE</w:t>
      </w:r>
      <w:r>
        <w:t>] Issue 2-2: FDM-based Semi-static Resource Pool Partitioning</w:t>
      </w:r>
    </w:p>
    <w:p w14:paraId="50E77086" w14:textId="77777777" w:rsidR="002767F4" w:rsidRDefault="001C679F">
      <w:pPr>
        <w:pStyle w:val="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6"/>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afe"/>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afe"/>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SL Ues.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The presence of PSFCH in the NR SL resource pools would cause AGC setting issues for the LTE SL Ues. [1], [26]</w:t>
      </w:r>
    </w:p>
    <w:p w14:paraId="4719B314" w14:textId="77777777" w:rsidR="002767F4" w:rsidRDefault="001C679F">
      <w:pPr>
        <w:pStyle w:val="3GPPNormalText"/>
        <w:numPr>
          <w:ilvl w:val="0"/>
          <w:numId w:val="13"/>
        </w:numPr>
        <w:ind w:left="360"/>
      </w:pPr>
      <w:r>
        <w:lastRenderedPageBreak/>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NR SL Ues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lastRenderedPageBreak/>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lastRenderedPageBreak/>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lastRenderedPageBreak/>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r>
              <w:rPr>
                <w:sz w:val="22"/>
              </w:rPr>
              <w:t>Transsion</w:t>
            </w:r>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lastRenderedPageBreak/>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w:t>
            </w:r>
            <w:r>
              <w:rPr>
                <w:sz w:val="22"/>
                <w:lang w:eastAsia="zh-CN"/>
              </w:rPr>
              <w:lastRenderedPageBreak/>
              <w:t>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lastRenderedPageBreak/>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w:t>
            </w:r>
            <w:r>
              <w:rPr>
                <w:sz w:val="22"/>
                <w:szCs w:val="22"/>
              </w:rPr>
              <w:lastRenderedPageBreak/>
              <w:t xml:space="preserve">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宋体"/>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lastRenderedPageBreak/>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afe"/>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r>
              <w:rPr>
                <w:rFonts w:hint="eastAsia"/>
                <w:sz w:val="22"/>
                <w:lang w:val="en-US" w:eastAsia="zh-CN"/>
              </w:rPr>
              <w:lastRenderedPageBreak/>
              <w:t>Transsion</w:t>
            </w:r>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afe"/>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rFonts w:hint="eastAsia"/>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2"/>
        <w:ind w:left="540"/>
      </w:pPr>
      <w:r>
        <w:t xml:space="preserve"> [</w:t>
      </w:r>
      <w:r>
        <w:rPr>
          <w:i/>
        </w:rPr>
        <w:t>ACTIVE</w:t>
      </w:r>
      <w:r>
        <w:t>] Issue 2-3: Dynamic Resource Pool Sharing – SCS and PSFCH</w:t>
      </w:r>
    </w:p>
    <w:p w14:paraId="2F2D14CD" w14:textId="77777777" w:rsidR="002767F4" w:rsidRDefault="001C679F">
      <w:pPr>
        <w:pStyle w:val="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Ues should occupy all symbols within a 15 kHz subframe. [1], [7], [13], </w:t>
      </w:r>
    </w:p>
    <w:p w14:paraId="5D9A3759" w14:textId="77777777" w:rsidR="002767F4" w:rsidRDefault="001C679F">
      <w:pPr>
        <w:pStyle w:val="3GPPNormalText"/>
        <w:numPr>
          <w:ilvl w:val="0"/>
          <w:numId w:val="13"/>
        </w:numPr>
        <w:spacing w:after="0"/>
        <w:ind w:left="360"/>
      </w:pPr>
      <w:r>
        <w:t>NR SL Ues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LTE SL Ues will not use time slots where NR SL Ues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 xml:space="preserve">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t>
      </w:r>
      <w:r>
        <w:lastRenderedPageBreak/>
        <w:t>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Observation 2: 30 kHz SCS is necessary for a Rel-18 UE to support both co-existing with LTE-V Ues and communicating with legacy Rel-16/Rel-17 Ues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lastRenderedPageBreak/>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lastRenderedPageBreak/>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study and clearly identify the pros, cons, and tradeoffs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lastRenderedPageBreak/>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3"/>
      </w:pPr>
      <w:r>
        <w:t xml:space="preserve">Summary of Company Views on PSFCH from Tdocs </w:t>
      </w:r>
    </w:p>
    <w:p w14:paraId="2241B6CF" w14:textId="77777777" w:rsidR="002767F4" w:rsidRDefault="001C679F">
      <w:pPr>
        <w:pStyle w:val="3GPPNormalText"/>
      </w:pPr>
      <w:r>
        <w:t>Another concern expressed by companies regarding DRPS is the presence of PSFCH in the NR SL resource pools causing AGC setting issues for the LTE SL Ues.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No transmission/reception of PSFCH in resources overlapping with LTE SL subframes, with NR Ues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lastRenderedPageBreak/>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lastRenderedPageBreak/>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For correct coexistence between NR and LTE sidelinks, NR Ues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Proposal 4: RAN1 to study and clearly identify the pros, cons, and tradeoffs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7DA6D71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NR SL resource pool is configured with only 15 kHz SCS.</w:t>
            </w:r>
          </w:p>
          <w:p w14:paraId="50272F59"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43F4433E"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666EDA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afe"/>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2EFF65D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afe"/>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afe"/>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1AAFC70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 caused due to PSFCH being configured in NR SL resource pools.</w:t>
      </w:r>
    </w:p>
    <w:p w14:paraId="64741E4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0AE4D2D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415F932A" w14:textId="77777777">
        <w:trPr>
          <w:trHeight w:val="158"/>
        </w:trPr>
        <w:tc>
          <w:tcPr>
            <w:tcW w:w="1680" w:type="dxa"/>
          </w:tcPr>
          <w:p w14:paraId="03D77D2F" w14:textId="77777777" w:rsidR="002767F4" w:rsidRDefault="001C679F">
            <w:pPr>
              <w:spacing w:before="0" w:after="0" w:line="280" w:lineRule="atLeast"/>
              <w:rPr>
                <w:b/>
                <w:bCs/>
                <w:sz w:val="22"/>
              </w:rPr>
            </w:pPr>
            <w:r>
              <w:rPr>
                <w:b/>
                <w:bCs/>
                <w:sz w:val="22"/>
              </w:rPr>
              <w:t>Company</w:t>
            </w:r>
          </w:p>
        </w:tc>
        <w:tc>
          <w:tcPr>
            <w:tcW w:w="1735" w:type="dxa"/>
          </w:tcPr>
          <w:p w14:paraId="7CEA2274" w14:textId="77777777" w:rsidR="002767F4" w:rsidRDefault="001C679F">
            <w:pPr>
              <w:spacing w:before="0" w:after="0" w:line="280" w:lineRule="atLeast"/>
              <w:rPr>
                <w:b/>
                <w:bCs/>
                <w:sz w:val="22"/>
              </w:rPr>
            </w:pPr>
            <w:r>
              <w:rPr>
                <w:b/>
                <w:bCs/>
                <w:sz w:val="22"/>
              </w:rPr>
              <w:t>Yes/No</w:t>
            </w:r>
          </w:p>
        </w:tc>
        <w:tc>
          <w:tcPr>
            <w:tcW w:w="6570"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trPr>
          <w:trHeight w:val="158"/>
        </w:trPr>
        <w:tc>
          <w:tcPr>
            <w:tcW w:w="1680" w:type="dxa"/>
          </w:tcPr>
          <w:p w14:paraId="0A9D9B50" w14:textId="77777777" w:rsidR="002767F4" w:rsidRDefault="001C679F">
            <w:pPr>
              <w:spacing w:before="0" w:after="0" w:line="280" w:lineRule="atLeast"/>
              <w:rPr>
                <w:sz w:val="22"/>
              </w:rPr>
            </w:pPr>
            <w:r>
              <w:rPr>
                <w:sz w:val="22"/>
              </w:rPr>
              <w:t>CATT2</w:t>
            </w:r>
          </w:p>
        </w:tc>
        <w:tc>
          <w:tcPr>
            <w:tcW w:w="1735" w:type="dxa"/>
          </w:tcPr>
          <w:p w14:paraId="5B5BF280" w14:textId="77777777" w:rsidR="002767F4" w:rsidRDefault="001C679F">
            <w:pPr>
              <w:spacing w:before="0" w:after="0" w:line="280" w:lineRule="atLeast"/>
              <w:rPr>
                <w:sz w:val="22"/>
              </w:rPr>
            </w:pPr>
            <w:r>
              <w:rPr>
                <w:sz w:val="22"/>
              </w:rPr>
              <w:t>With update</w:t>
            </w:r>
          </w:p>
        </w:tc>
        <w:tc>
          <w:tcPr>
            <w:tcW w:w="6570"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trPr>
          <w:trHeight w:val="158"/>
        </w:trPr>
        <w:tc>
          <w:tcPr>
            <w:tcW w:w="1680" w:type="dxa"/>
          </w:tcPr>
          <w:p w14:paraId="577C8617" w14:textId="77777777" w:rsidR="002767F4" w:rsidRDefault="001C679F">
            <w:pPr>
              <w:spacing w:before="0" w:after="0" w:line="280" w:lineRule="atLeast"/>
              <w:rPr>
                <w:sz w:val="22"/>
              </w:rPr>
            </w:pPr>
            <w:r>
              <w:rPr>
                <w:sz w:val="22"/>
              </w:rPr>
              <w:t>Toyota</w:t>
            </w:r>
          </w:p>
        </w:tc>
        <w:tc>
          <w:tcPr>
            <w:tcW w:w="1735" w:type="dxa"/>
          </w:tcPr>
          <w:p w14:paraId="5F30F207" w14:textId="77777777" w:rsidR="002767F4" w:rsidRDefault="001C679F">
            <w:pPr>
              <w:spacing w:before="0" w:after="0" w:line="280" w:lineRule="atLeast"/>
              <w:rPr>
                <w:sz w:val="22"/>
              </w:rPr>
            </w:pPr>
            <w:r>
              <w:rPr>
                <w:sz w:val="22"/>
              </w:rPr>
              <w:t>Yes</w:t>
            </w:r>
          </w:p>
        </w:tc>
        <w:tc>
          <w:tcPr>
            <w:tcW w:w="6570"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trPr>
          <w:trHeight w:val="158"/>
        </w:trPr>
        <w:tc>
          <w:tcPr>
            <w:tcW w:w="1680" w:type="dxa"/>
          </w:tcPr>
          <w:p w14:paraId="1D51087A" w14:textId="77777777" w:rsidR="002767F4" w:rsidRDefault="001C679F">
            <w:pPr>
              <w:spacing w:before="0" w:after="0" w:line="280" w:lineRule="atLeast"/>
              <w:rPr>
                <w:sz w:val="22"/>
              </w:rPr>
            </w:pPr>
            <w:r>
              <w:rPr>
                <w:sz w:val="22"/>
              </w:rPr>
              <w:t>Qualcomm</w:t>
            </w:r>
          </w:p>
        </w:tc>
        <w:tc>
          <w:tcPr>
            <w:tcW w:w="1735" w:type="dxa"/>
          </w:tcPr>
          <w:p w14:paraId="48BEFC5F" w14:textId="77777777" w:rsidR="002767F4" w:rsidRDefault="001C679F">
            <w:pPr>
              <w:spacing w:before="0" w:after="0" w:line="280" w:lineRule="atLeast"/>
              <w:rPr>
                <w:sz w:val="22"/>
              </w:rPr>
            </w:pPr>
            <w:r>
              <w:rPr>
                <w:sz w:val="22"/>
              </w:rPr>
              <w:t>Yes with comments</w:t>
            </w:r>
          </w:p>
        </w:tc>
        <w:tc>
          <w:tcPr>
            <w:tcW w:w="6570"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trPr>
          <w:trHeight w:val="158"/>
        </w:trPr>
        <w:tc>
          <w:tcPr>
            <w:tcW w:w="1680" w:type="dxa"/>
          </w:tcPr>
          <w:p w14:paraId="490C6240" w14:textId="77777777" w:rsidR="002767F4" w:rsidRDefault="001C679F">
            <w:pPr>
              <w:spacing w:before="0" w:after="0" w:line="280" w:lineRule="atLeast"/>
              <w:rPr>
                <w:sz w:val="22"/>
              </w:rPr>
            </w:pPr>
            <w:r>
              <w:rPr>
                <w:sz w:val="22"/>
              </w:rPr>
              <w:lastRenderedPageBreak/>
              <w:t>Intel</w:t>
            </w:r>
          </w:p>
        </w:tc>
        <w:tc>
          <w:tcPr>
            <w:tcW w:w="1735" w:type="dxa"/>
          </w:tcPr>
          <w:p w14:paraId="7B2219B2" w14:textId="77777777" w:rsidR="002767F4" w:rsidRDefault="001C679F">
            <w:pPr>
              <w:spacing w:before="0" w:after="0" w:line="280" w:lineRule="atLeast"/>
              <w:rPr>
                <w:sz w:val="22"/>
              </w:rPr>
            </w:pPr>
            <w:r>
              <w:rPr>
                <w:sz w:val="22"/>
              </w:rPr>
              <w:t>Comments</w:t>
            </w:r>
          </w:p>
        </w:tc>
        <w:tc>
          <w:tcPr>
            <w:tcW w:w="6570"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trPr>
          <w:trHeight w:val="158"/>
        </w:trPr>
        <w:tc>
          <w:tcPr>
            <w:tcW w:w="1680"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0"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trPr>
          <w:trHeight w:val="158"/>
        </w:trPr>
        <w:tc>
          <w:tcPr>
            <w:tcW w:w="1680" w:type="dxa"/>
          </w:tcPr>
          <w:p w14:paraId="29425E44"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trPr>
          <w:trHeight w:val="158"/>
        </w:trPr>
        <w:tc>
          <w:tcPr>
            <w:tcW w:w="1680"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544758C" w14:textId="77777777" w:rsidR="002767F4" w:rsidRDefault="002767F4">
            <w:pPr>
              <w:spacing w:before="0" w:after="0" w:line="280" w:lineRule="atLeast"/>
              <w:rPr>
                <w:sz w:val="22"/>
                <w:lang w:val="en-US" w:eastAsia="zh-CN"/>
              </w:rPr>
            </w:pPr>
          </w:p>
        </w:tc>
      </w:tr>
      <w:tr w:rsidR="008B7505" w14:paraId="0122A475" w14:textId="77777777">
        <w:trPr>
          <w:trHeight w:val="158"/>
        </w:trPr>
        <w:tc>
          <w:tcPr>
            <w:tcW w:w="1680"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950F062" w14:textId="77777777" w:rsidR="008B7505" w:rsidRDefault="008B7505">
            <w:pPr>
              <w:spacing w:after="0" w:line="280" w:lineRule="atLeast"/>
              <w:rPr>
                <w:sz w:val="22"/>
                <w:lang w:val="en-US" w:eastAsia="zh-CN"/>
              </w:rPr>
            </w:pPr>
          </w:p>
        </w:tc>
      </w:tr>
      <w:tr w:rsidR="00486482" w14:paraId="3925D1FE" w14:textId="77777777">
        <w:trPr>
          <w:trHeight w:val="158"/>
        </w:trPr>
        <w:tc>
          <w:tcPr>
            <w:tcW w:w="1680" w:type="dxa"/>
          </w:tcPr>
          <w:p w14:paraId="03265B06" w14:textId="5BD60A09" w:rsidR="00486482" w:rsidRDefault="00486482" w:rsidP="00486482">
            <w:pPr>
              <w:spacing w:after="0" w:line="280" w:lineRule="atLeast"/>
              <w:rPr>
                <w:rFonts w:hint="eastAsia"/>
                <w:sz w:val="22"/>
                <w:lang w:val="en-US" w:eastAsia="zh-CN"/>
              </w:rPr>
            </w:pPr>
            <w:r>
              <w:rPr>
                <w:rFonts w:hint="eastAsia"/>
                <w:sz w:val="22"/>
                <w:lang w:eastAsia="zh-CN"/>
              </w:rPr>
              <w:t>S</w:t>
            </w:r>
            <w:r>
              <w:rPr>
                <w:sz w:val="22"/>
                <w:lang w:eastAsia="zh-CN"/>
              </w:rPr>
              <w:t>harp</w:t>
            </w:r>
          </w:p>
        </w:tc>
        <w:tc>
          <w:tcPr>
            <w:tcW w:w="1735" w:type="dxa"/>
          </w:tcPr>
          <w:p w14:paraId="717EB7A3" w14:textId="4AC7DADC" w:rsidR="00486482" w:rsidRDefault="00486482" w:rsidP="00486482">
            <w:pPr>
              <w:spacing w:after="0" w:line="280" w:lineRule="atLeast"/>
              <w:rPr>
                <w:rFonts w:hint="eastAsia"/>
                <w:sz w:val="22"/>
                <w:lang w:val="en-US" w:eastAsia="zh-CN"/>
              </w:rPr>
            </w:pPr>
            <w:r>
              <w:rPr>
                <w:rFonts w:hint="eastAsia"/>
                <w:sz w:val="22"/>
                <w:lang w:eastAsia="zh-CN"/>
              </w:rPr>
              <w:t>C</w:t>
            </w:r>
            <w:r>
              <w:rPr>
                <w:sz w:val="22"/>
                <w:lang w:eastAsia="zh-CN"/>
              </w:rPr>
              <w:t>omments</w:t>
            </w:r>
          </w:p>
        </w:tc>
        <w:tc>
          <w:tcPr>
            <w:tcW w:w="6570"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bl>
    <w:p w14:paraId="129A9642" w14:textId="77777777" w:rsidR="002767F4" w:rsidRDefault="002767F4">
      <w:pPr>
        <w:pStyle w:val="3GPPNormalText"/>
        <w:spacing w:before="240" w:after="0"/>
        <w:rPr>
          <w:b/>
        </w:rPr>
      </w:pPr>
    </w:p>
    <w:p w14:paraId="4F830B69"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2"/>
        <w:ind w:left="540"/>
      </w:pPr>
      <w:r>
        <w:t xml:space="preserve"> [</w:t>
      </w:r>
      <w:r>
        <w:rPr>
          <w:i/>
        </w:rPr>
        <w:t>ACTIVE</w:t>
      </w:r>
      <w:r>
        <w:t>] Issue 2-4: Dynamic Resource Pool Sharing – Use of LTE Sensing Information</w:t>
      </w:r>
    </w:p>
    <w:p w14:paraId="184CA2D4" w14:textId="77777777" w:rsidR="002767F4" w:rsidRDefault="001C679F">
      <w:pPr>
        <w:pStyle w:val="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6"/>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lastRenderedPageBreak/>
              <w:t>FFS: Whether/how to define other method(s) for device type A to be aware of resources being occupied by LTE SL.</w:t>
            </w:r>
          </w:p>
          <w:p w14:paraId="237319E8"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lastRenderedPageBreak/>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afe"/>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0BCA8929" w14:textId="77777777" w:rsidR="002767F4" w:rsidRDefault="001C679F">
      <w:pPr>
        <w:pStyle w:val="3GPPNormalText"/>
        <w:spacing w:before="120" w:after="0"/>
      </w:pPr>
      <w:r>
        <w:t xml:space="preserve">Apart from using the sensing information from the LTE SL module directly for its own resource selection procedure, a few companies had mentioned the use of IUC from a UE-A containing the LTE sensing information </w:t>
      </w:r>
      <w:r>
        <w:lastRenderedPageBreak/>
        <w:t>for UE-B to be aware of resources being used by LTE SL transmissions. [4], [8], [11], [12], [14], [16], [20], [22], [24], [28].</w:t>
      </w:r>
    </w:p>
    <w:p w14:paraId="73FCA1DD" w14:textId="77777777" w:rsidR="002767F4" w:rsidRDefault="001C679F">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3DDA8F6D" w14:textId="77777777" w:rsidR="002767F4" w:rsidRDefault="002767F4">
      <w:pPr>
        <w:jc w:val="both"/>
        <w:rPr>
          <w:rFonts w:eastAsia="MS Mincho"/>
          <w:szCs w:val="24"/>
        </w:rPr>
      </w:pPr>
    </w:p>
    <w:p w14:paraId="04BD110F" w14:textId="77777777" w:rsidR="002767F4" w:rsidRDefault="001C679F">
      <w:pPr>
        <w:pStyle w:val="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lastRenderedPageBreak/>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Observation 6: The DMRS pattern in LTE is different from NR, thus, LTE SL UE can not maintain the accurate RSRP when detecting the resources reserved by NR modules/Ues.</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lastRenderedPageBreak/>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lastRenderedPageBreak/>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34C08405" w14:textId="77777777" w:rsidR="002767F4" w:rsidRDefault="001C679F">
            <w:pPr>
              <w:spacing w:before="0" w:after="0" w:line="280" w:lineRule="atLeast"/>
              <w:rPr>
                <w:sz w:val="22"/>
              </w:rPr>
            </w:pPr>
            <w:r>
              <w:rPr>
                <w:sz w:val="22"/>
              </w:rPr>
              <w:lastRenderedPageBreak/>
              <w:t>Proposal 11: For in-coverage Ues, they can use gNB to relay the sensing information via UL and then DL to targeted Ues.</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lastRenderedPageBreak/>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lastRenderedPageBreak/>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lastRenderedPageBreak/>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Details of exclusion behavior</w:t>
            </w:r>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afe"/>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Proposal 4: RAN1 to study and clearly identify the pros, cons, and tradeoffs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E9A90E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SL RSRP and/or SL RSSI measurement results</w:t>
      </w:r>
    </w:p>
    <w:p w14:paraId="7F0DA88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4"/>
        <w:tabs>
          <w:tab w:val="left" w:pos="568"/>
        </w:tabs>
        <w:ind w:left="900"/>
        <w:rPr>
          <w:lang w:val="en-US"/>
        </w:rPr>
      </w:pPr>
      <w:r>
        <w:rPr>
          <w:lang w:val="en-US"/>
        </w:rPr>
        <w:t>Comments for Proposal 2-4a</w:t>
      </w:r>
    </w:p>
    <w:tbl>
      <w:tblPr>
        <w:tblStyle w:val="af6"/>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afe"/>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lastRenderedPageBreak/>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afe"/>
        <w:ind w:left="0"/>
        <w:jc w:val="both"/>
        <w:rPr>
          <w:rFonts w:ascii="Times New Roman" w:eastAsia="MS Mincho" w:hAnsi="Times New Roman"/>
          <w:b/>
          <w:szCs w:val="24"/>
          <w:lang w:val="en-GB"/>
        </w:rPr>
      </w:pPr>
    </w:p>
    <w:p w14:paraId="61DCF532" w14:textId="77777777" w:rsidR="002767F4" w:rsidRDefault="001C679F">
      <w:pPr>
        <w:pStyle w:val="4"/>
        <w:tabs>
          <w:tab w:val="left" w:pos="568"/>
        </w:tabs>
        <w:ind w:left="900"/>
        <w:rPr>
          <w:lang w:val="en-US"/>
        </w:rPr>
      </w:pPr>
      <w:r>
        <w:rPr>
          <w:lang w:val="en-US"/>
        </w:rPr>
        <w:t>Comments for Proposal 2-4b</w:t>
      </w:r>
    </w:p>
    <w:tbl>
      <w:tblPr>
        <w:tblStyle w:val="af6"/>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lastRenderedPageBreak/>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afe"/>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afe"/>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afe"/>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afe"/>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lastRenderedPageBreak/>
              <w:t>SL RSRP and/or SL RSSI measurement results</w:t>
            </w:r>
          </w:p>
          <w:p w14:paraId="56CC692F" w14:textId="77777777" w:rsidR="002767F4" w:rsidRDefault="001C679F">
            <w:pPr>
              <w:pStyle w:val="afe"/>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afe"/>
        <w:ind w:left="0"/>
        <w:jc w:val="both"/>
        <w:rPr>
          <w:rFonts w:ascii="Times New Roman" w:eastAsia="MS Mincho" w:hAnsi="Times New Roman"/>
          <w:b/>
          <w:szCs w:val="24"/>
        </w:rPr>
      </w:pPr>
    </w:p>
    <w:p w14:paraId="13BF4029" w14:textId="77777777" w:rsidR="002767F4" w:rsidRDefault="001C679F">
      <w:pPr>
        <w:pStyle w:val="4"/>
        <w:tabs>
          <w:tab w:val="left" w:pos="568"/>
        </w:tabs>
        <w:ind w:left="900"/>
        <w:rPr>
          <w:lang w:val="en-US"/>
        </w:rPr>
      </w:pPr>
      <w:r>
        <w:rPr>
          <w:lang w:val="en-US"/>
        </w:rPr>
        <w:t>Comments for Proposal 2-4c</w:t>
      </w:r>
    </w:p>
    <w:tbl>
      <w:tblPr>
        <w:tblStyle w:val="af6"/>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4"/>
        <w:tabs>
          <w:tab w:val="left" w:pos="568"/>
        </w:tabs>
        <w:ind w:left="900"/>
        <w:rPr>
          <w:lang w:val="en-US"/>
        </w:rPr>
      </w:pPr>
      <w:r>
        <w:rPr>
          <w:lang w:val="en-US"/>
        </w:rPr>
        <w:t>Comments for Proposal 2-4d</w:t>
      </w:r>
    </w:p>
    <w:tbl>
      <w:tblPr>
        <w:tblStyle w:val="af6"/>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lastRenderedPageBreak/>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Half-duplex subframes which are not monitored by the LTE SL UE.</w:t>
      </w:r>
    </w:p>
    <w:p w14:paraId="21A54FC1"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 xml:space="preserve">Condition-based, where the LTE module shares its sensing and resource selection information to the NR module when a certain condition(s) is met. </w:t>
      </w:r>
    </w:p>
    <w:p w14:paraId="71CC1E43"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69"/>
        <w:gridCol w:w="1836"/>
        <w:gridCol w:w="6480"/>
      </w:tblGrid>
      <w:tr w:rsidR="002767F4" w14:paraId="770702B1" w14:textId="77777777">
        <w:trPr>
          <w:trHeight w:val="158"/>
        </w:trPr>
        <w:tc>
          <w:tcPr>
            <w:tcW w:w="1669" w:type="dxa"/>
          </w:tcPr>
          <w:p w14:paraId="1678D334" w14:textId="77777777" w:rsidR="002767F4" w:rsidRDefault="001C679F">
            <w:pPr>
              <w:spacing w:before="0" w:after="0" w:line="280" w:lineRule="atLeast"/>
              <w:rPr>
                <w:b/>
                <w:bCs/>
                <w:sz w:val="22"/>
              </w:rPr>
            </w:pPr>
            <w:r>
              <w:rPr>
                <w:b/>
                <w:bCs/>
                <w:sz w:val="22"/>
              </w:rPr>
              <w:t>Company</w:t>
            </w:r>
          </w:p>
        </w:tc>
        <w:tc>
          <w:tcPr>
            <w:tcW w:w="1836" w:type="dxa"/>
          </w:tcPr>
          <w:p w14:paraId="344B260B" w14:textId="77777777" w:rsidR="002767F4" w:rsidRDefault="001C679F">
            <w:pPr>
              <w:spacing w:before="0" w:after="0" w:line="280" w:lineRule="atLeast"/>
              <w:rPr>
                <w:b/>
                <w:bCs/>
                <w:sz w:val="22"/>
              </w:rPr>
            </w:pPr>
            <w:r>
              <w:rPr>
                <w:b/>
                <w:bCs/>
                <w:sz w:val="22"/>
              </w:rPr>
              <w:t>Yes/No</w:t>
            </w:r>
          </w:p>
        </w:tc>
        <w:tc>
          <w:tcPr>
            <w:tcW w:w="6480"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trPr>
          <w:trHeight w:val="158"/>
        </w:trPr>
        <w:tc>
          <w:tcPr>
            <w:tcW w:w="1669" w:type="dxa"/>
          </w:tcPr>
          <w:p w14:paraId="62FF3842" w14:textId="77777777" w:rsidR="002767F4" w:rsidRDefault="001C679F">
            <w:pPr>
              <w:spacing w:before="0" w:after="0" w:line="280" w:lineRule="atLeast"/>
              <w:rPr>
                <w:sz w:val="22"/>
              </w:rPr>
            </w:pPr>
            <w:r>
              <w:rPr>
                <w:sz w:val="22"/>
              </w:rPr>
              <w:t>CATT2</w:t>
            </w:r>
          </w:p>
        </w:tc>
        <w:tc>
          <w:tcPr>
            <w:tcW w:w="1836" w:type="dxa"/>
          </w:tcPr>
          <w:p w14:paraId="741E34D5" w14:textId="77777777" w:rsidR="002767F4" w:rsidRDefault="001C679F">
            <w:pPr>
              <w:spacing w:before="0" w:after="0" w:line="280" w:lineRule="atLeast"/>
              <w:rPr>
                <w:sz w:val="22"/>
              </w:rPr>
            </w:pPr>
            <w:r>
              <w:rPr>
                <w:sz w:val="22"/>
              </w:rPr>
              <w:t>OK except 2-4d</w:t>
            </w:r>
          </w:p>
        </w:tc>
        <w:tc>
          <w:tcPr>
            <w:tcW w:w="6480"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trPr>
          <w:trHeight w:val="158"/>
        </w:trPr>
        <w:tc>
          <w:tcPr>
            <w:tcW w:w="1669" w:type="dxa"/>
          </w:tcPr>
          <w:p w14:paraId="387BA4A1" w14:textId="77777777" w:rsidR="002767F4" w:rsidRDefault="001C679F">
            <w:pPr>
              <w:spacing w:before="0" w:after="0" w:line="280" w:lineRule="atLeast"/>
              <w:rPr>
                <w:sz w:val="22"/>
              </w:rPr>
            </w:pPr>
            <w:r>
              <w:rPr>
                <w:sz w:val="22"/>
              </w:rPr>
              <w:t>Toyota</w:t>
            </w:r>
          </w:p>
        </w:tc>
        <w:tc>
          <w:tcPr>
            <w:tcW w:w="1836"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0"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trPr>
          <w:trHeight w:val="158"/>
        </w:trPr>
        <w:tc>
          <w:tcPr>
            <w:tcW w:w="1669" w:type="dxa"/>
          </w:tcPr>
          <w:p w14:paraId="6D0DA980" w14:textId="77777777" w:rsidR="002767F4" w:rsidRDefault="001C679F">
            <w:pPr>
              <w:spacing w:before="0" w:after="0" w:line="280" w:lineRule="atLeast"/>
              <w:rPr>
                <w:sz w:val="22"/>
              </w:rPr>
            </w:pPr>
            <w:r>
              <w:rPr>
                <w:sz w:val="22"/>
              </w:rPr>
              <w:t>Qualcomm</w:t>
            </w:r>
          </w:p>
        </w:tc>
        <w:tc>
          <w:tcPr>
            <w:tcW w:w="1836"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lastRenderedPageBreak/>
              <w:t xml:space="preserve"> No</w:t>
            </w:r>
          </w:p>
        </w:tc>
        <w:tc>
          <w:tcPr>
            <w:tcW w:w="6480" w:type="dxa"/>
          </w:tcPr>
          <w:p w14:paraId="1A656D04" w14:textId="77777777" w:rsidR="002767F4" w:rsidRDefault="001C679F">
            <w:pPr>
              <w:pStyle w:val="3GPPNormalText"/>
              <w:spacing w:after="0" w:line="280" w:lineRule="atLeast"/>
              <w:rPr>
                <w:b/>
              </w:rPr>
            </w:pPr>
            <w:r>
              <w:rPr>
                <w:b/>
                <w:highlight w:val="yellow"/>
              </w:rPr>
              <w:lastRenderedPageBreak/>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afe"/>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afe"/>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afe"/>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afe"/>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lastRenderedPageBreak/>
              <w:t>This should be de-prioritized for now, RAN 1 should revisit IUC based cochannel coexistence once the basic dynamic mechanism is agreed upon.</w:t>
            </w:r>
          </w:p>
        </w:tc>
      </w:tr>
      <w:tr w:rsidR="002767F4" w14:paraId="3BFD53E9" w14:textId="77777777">
        <w:trPr>
          <w:trHeight w:val="158"/>
        </w:trPr>
        <w:tc>
          <w:tcPr>
            <w:tcW w:w="1669"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6" w:type="dxa"/>
          </w:tcPr>
          <w:p w14:paraId="2AED405F" w14:textId="77777777" w:rsidR="002767F4" w:rsidRDefault="001C679F">
            <w:pPr>
              <w:spacing w:line="280" w:lineRule="atLeast"/>
              <w:rPr>
                <w:sz w:val="22"/>
              </w:rPr>
            </w:pPr>
            <w:r>
              <w:rPr>
                <w:sz w:val="22"/>
              </w:rPr>
              <w:t>Comments</w:t>
            </w:r>
          </w:p>
        </w:tc>
        <w:tc>
          <w:tcPr>
            <w:tcW w:w="6480" w:type="dxa"/>
          </w:tcPr>
          <w:p w14:paraId="6ACB3468" w14:textId="77777777" w:rsidR="002767F4" w:rsidRDefault="001C679F">
            <w:pPr>
              <w:pStyle w:val="afe"/>
              <w:numPr>
                <w:ilvl w:val="0"/>
                <w:numId w:val="17"/>
              </w:numPr>
              <w:spacing w:line="280" w:lineRule="atLeast"/>
            </w:pPr>
            <w:r>
              <w:t>OK with Proposal 2-4a</w:t>
            </w:r>
          </w:p>
          <w:p w14:paraId="10A666F4" w14:textId="77777777" w:rsidR="002767F4" w:rsidRDefault="001C679F">
            <w:pPr>
              <w:pStyle w:val="afe"/>
              <w:numPr>
                <w:ilvl w:val="0"/>
                <w:numId w:val="17"/>
              </w:numPr>
              <w:spacing w:line="280" w:lineRule="atLeast"/>
            </w:pPr>
            <w:r>
              <w:t>OK with proposal 2-4b</w:t>
            </w:r>
          </w:p>
          <w:p w14:paraId="5AC86B24" w14:textId="77777777" w:rsidR="002767F4" w:rsidRDefault="001C679F">
            <w:pPr>
              <w:pStyle w:val="afe"/>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afe"/>
              <w:numPr>
                <w:ilvl w:val="0"/>
                <w:numId w:val="17"/>
              </w:numPr>
              <w:spacing w:line="280" w:lineRule="atLeast"/>
            </w:pPr>
            <w:r>
              <w:t>OK with proposal 2-4d</w:t>
            </w:r>
          </w:p>
        </w:tc>
      </w:tr>
      <w:tr w:rsidR="002767F4" w14:paraId="72C42C43" w14:textId="77777777">
        <w:trPr>
          <w:trHeight w:val="158"/>
        </w:trPr>
        <w:tc>
          <w:tcPr>
            <w:tcW w:w="1669"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6"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0"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trPr>
          <w:trHeight w:val="158"/>
        </w:trPr>
        <w:tc>
          <w:tcPr>
            <w:tcW w:w="1669" w:type="dxa"/>
          </w:tcPr>
          <w:p w14:paraId="6AE3045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836"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0"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trPr>
          <w:trHeight w:val="158"/>
        </w:trPr>
        <w:tc>
          <w:tcPr>
            <w:tcW w:w="1669"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6"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0" w:type="dxa"/>
          </w:tcPr>
          <w:p w14:paraId="7743647E" w14:textId="77777777" w:rsidR="008E122B" w:rsidRDefault="008E122B" w:rsidP="008E122B">
            <w:pPr>
              <w:pStyle w:val="afe"/>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afe"/>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trPr>
          <w:trHeight w:val="158"/>
        </w:trPr>
        <w:tc>
          <w:tcPr>
            <w:tcW w:w="1669" w:type="dxa"/>
          </w:tcPr>
          <w:p w14:paraId="35260BC3" w14:textId="438D9013" w:rsidR="008B7505" w:rsidRDefault="008B7505" w:rsidP="008E122B">
            <w:pPr>
              <w:spacing w:after="0" w:line="280" w:lineRule="atLeast"/>
              <w:rPr>
                <w:sz w:val="22"/>
                <w:lang w:eastAsia="zh-CN"/>
              </w:rPr>
            </w:pPr>
            <w:r>
              <w:rPr>
                <w:rFonts w:hint="eastAsia"/>
                <w:sz w:val="22"/>
                <w:lang w:eastAsia="zh-CN"/>
              </w:rPr>
              <w:t>S</w:t>
            </w:r>
            <w:r>
              <w:rPr>
                <w:sz w:val="22"/>
                <w:lang w:eastAsia="zh-CN"/>
              </w:rPr>
              <w:t>preadtrum</w:t>
            </w:r>
          </w:p>
        </w:tc>
        <w:tc>
          <w:tcPr>
            <w:tcW w:w="1836"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0"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trPr>
          <w:trHeight w:val="158"/>
        </w:trPr>
        <w:tc>
          <w:tcPr>
            <w:tcW w:w="1669" w:type="dxa"/>
          </w:tcPr>
          <w:p w14:paraId="1C17095D" w14:textId="663C0F14" w:rsidR="00486482" w:rsidRDefault="00486482" w:rsidP="00486482">
            <w:pPr>
              <w:spacing w:after="0" w:line="280" w:lineRule="atLeast"/>
              <w:rPr>
                <w:rFonts w:hint="eastAsia"/>
                <w:sz w:val="22"/>
                <w:lang w:eastAsia="zh-CN"/>
              </w:rPr>
            </w:pPr>
            <w:r>
              <w:rPr>
                <w:rFonts w:hint="eastAsia"/>
                <w:sz w:val="22"/>
                <w:lang w:eastAsia="zh-CN"/>
              </w:rPr>
              <w:t>S</w:t>
            </w:r>
            <w:r>
              <w:rPr>
                <w:sz w:val="22"/>
                <w:lang w:eastAsia="zh-CN"/>
              </w:rPr>
              <w:t>harp</w:t>
            </w:r>
          </w:p>
        </w:tc>
        <w:tc>
          <w:tcPr>
            <w:tcW w:w="1836" w:type="dxa"/>
          </w:tcPr>
          <w:p w14:paraId="3ACEEF14" w14:textId="1CD1F9DE" w:rsidR="00486482" w:rsidRDefault="00486482" w:rsidP="00486482">
            <w:pPr>
              <w:spacing w:after="0" w:line="280" w:lineRule="atLeast"/>
              <w:rPr>
                <w:rFonts w:hint="eastAsia"/>
                <w:sz w:val="22"/>
                <w:lang w:eastAsia="zh-CN"/>
              </w:rPr>
            </w:pPr>
            <w:r>
              <w:rPr>
                <w:rFonts w:hint="eastAsia"/>
                <w:sz w:val="22"/>
                <w:lang w:eastAsia="zh-CN"/>
              </w:rPr>
              <w:t>C</w:t>
            </w:r>
            <w:r>
              <w:rPr>
                <w:sz w:val="22"/>
                <w:lang w:eastAsia="zh-CN"/>
              </w:rPr>
              <w:t>omments</w:t>
            </w:r>
          </w:p>
        </w:tc>
        <w:tc>
          <w:tcPr>
            <w:tcW w:w="6480"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lastRenderedPageBreak/>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rFonts w:hint="eastAsia"/>
                <w:sz w:val="22"/>
                <w:lang w:eastAsia="zh-CN"/>
              </w:rPr>
            </w:pPr>
            <w:r w:rsidRPr="0095446D">
              <w:rPr>
                <w:rFonts w:eastAsia="MS Mincho"/>
                <w:b/>
                <w:sz w:val="22"/>
                <w:szCs w:val="24"/>
              </w:rPr>
              <w:t>FFS details.</w:t>
            </w:r>
          </w:p>
        </w:tc>
      </w:tr>
    </w:tbl>
    <w:p w14:paraId="2B99EA72" w14:textId="77777777" w:rsidR="002767F4" w:rsidRDefault="002767F4">
      <w:pPr>
        <w:pStyle w:val="3GPPNormalText"/>
        <w:spacing w:before="240" w:after="0"/>
        <w:rPr>
          <w:b/>
        </w:rPr>
      </w:pPr>
    </w:p>
    <w:p w14:paraId="4AC3E32B"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2"/>
        <w:ind w:left="540"/>
      </w:pPr>
      <w:r>
        <w:t>Comparison of Solutions and Evaluation Results</w:t>
      </w:r>
    </w:p>
    <w:p w14:paraId="02DF4266" w14:textId="77777777" w:rsidR="002767F4" w:rsidRDefault="001C679F">
      <w:pPr>
        <w:pStyle w:val="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3F664323" w14:textId="77777777" w:rsidR="002767F4" w:rsidRDefault="001C679F">
      <w:pPr>
        <w:pStyle w:val="afe"/>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afe"/>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lastRenderedPageBreak/>
        <w:t>CATT, GOHIGH</w:t>
      </w:r>
    </w:p>
    <w:p w14:paraId="5E283B1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afe"/>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lastRenderedPageBreak/>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2"/>
        <w:ind w:left="540"/>
      </w:pPr>
      <w:r>
        <w:t>Others</w:t>
      </w:r>
    </w:p>
    <w:p w14:paraId="27892ABC" w14:textId="77777777" w:rsidR="002767F4" w:rsidRDefault="001C679F">
      <w:pPr>
        <w:pStyle w:val="3"/>
      </w:pPr>
      <w:r>
        <w:t>Company Views from TDocs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77777777" w:rsidR="002767F4" w:rsidRDefault="001C679F">
            <w:pPr>
              <w:spacing w:before="0" w:after="0" w:line="280" w:lineRule="atLeast"/>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 xml:space="preserve">Proposal 1: To clarify the last meeting agreements that the “semi-static resource pool partitioning” will only refer to the non-overlapped resource pools between LTE SL and NR </w:t>
            </w:r>
            <w:r>
              <w:rPr>
                <w:sz w:val="22"/>
              </w:rPr>
              <w:lastRenderedPageBreak/>
              <w:t>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lastRenderedPageBreak/>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77777777" w:rsidR="002767F4" w:rsidRDefault="001C679F">
            <w:pPr>
              <w:spacing w:before="0" w:after="0" w:line="280" w:lineRule="atLeast"/>
              <w:rPr>
                <w:sz w:val="22"/>
              </w:rPr>
            </w:pPr>
            <w:r>
              <w:rPr>
                <w:sz w:val="22"/>
              </w:rPr>
              <w:t>o</w:t>
            </w:r>
            <w:r>
              <w:rPr>
                <w:sz w:val="22"/>
              </w:rPr>
              <w:tab/>
              <w:t>Semi-static resource pool partitioning: Configured LTE-SL resource pool and NR-SL resource pool are within the same carrier but not overlapped in time and frequency.</w:t>
            </w:r>
          </w:p>
          <w:p w14:paraId="0C651F12" w14:textId="77777777" w:rsidR="002767F4" w:rsidRDefault="001C679F">
            <w:pPr>
              <w:spacing w:before="0" w:after="0" w:line="280" w:lineRule="atLeast"/>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1"/>
      </w:pPr>
      <w:r>
        <w:t>Others</w:t>
      </w:r>
    </w:p>
    <w:p w14:paraId="542CBF08" w14:textId="77777777" w:rsidR="002767F4" w:rsidRDefault="001C679F">
      <w:pPr>
        <w:pStyle w:val="2"/>
        <w:ind w:left="540"/>
      </w:pPr>
      <w:r>
        <w:t xml:space="preserve"> [</w:t>
      </w:r>
      <w:r>
        <w:rPr>
          <w:i/>
        </w:rPr>
        <w:t>ACTIVE</w:t>
      </w:r>
      <w:r>
        <w:t>] Issue 3-1: Operational Modes</w:t>
      </w:r>
    </w:p>
    <w:p w14:paraId="53A971FE" w14:textId="77777777" w:rsidR="002767F4" w:rsidRDefault="001C679F">
      <w:pPr>
        <w:pStyle w:val="3"/>
      </w:pPr>
      <w:r>
        <w:t>Summary of Company Views from TDocs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77777777"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4928086A" w14:textId="77777777"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1FD79FB4" w14:textId="77777777"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2E168406" w14:textId="77777777" w:rsidR="002767F4" w:rsidRDefault="001C679F">
      <w:pPr>
        <w:pStyle w:val="afe"/>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30D3A688" w14:textId="77777777" w:rsidR="002767F4" w:rsidRDefault="001C679F">
      <w:pPr>
        <w:jc w:val="both"/>
        <w:rPr>
          <w:rFonts w:eastAsia="MS Mincho"/>
          <w:sz w:val="22"/>
          <w:szCs w:val="22"/>
        </w:rPr>
      </w:pPr>
      <w:r>
        <w:rPr>
          <w:rFonts w:eastAsia="MS Mincho"/>
          <w:sz w:val="22"/>
          <w:szCs w:val="22"/>
        </w:rPr>
        <w:lastRenderedPageBreak/>
        <w:t>The corresponding agreement made in the previous meeting is as follows:</w:t>
      </w:r>
    </w:p>
    <w:tbl>
      <w:tblPr>
        <w:tblStyle w:val="af6"/>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afe"/>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269F306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4115A34"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68BE54DB" w14:textId="77777777" w:rsidR="002767F4" w:rsidRDefault="001C679F">
      <w:pPr>
        <w:pStyle w:val="afe"/>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68CA38D6" w14:textId="77777777" w:rsidR="002767F4" w:rsidRDefault="001C679F">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30F35D6F" w14:textId="77777777"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lastRenderedPageBreak/>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77777777" w:rsidR="002767F4" w:rsidRDefault="001C679F">
            <w:pPr>
              <w:spacing w:before="0" w:after="0" w:line="280" w:lineRule="atLeast"/>
              <w:rPr>
                <w:sz w:val="22"/>
                <w:lang w:val="fr-FR"/>
              </w:rPr>
            </w:pPr>
            <w:r>
              <w:rPr>
                <w:sz w:val="22"/>
                <w:lang w:val="fr-FR"/>
              </w:rPr>
              <w:t>•</w:t>
            </w:r>
            <w:r>
              <w:rPr>
                <w:sz w:val="22"/>
                <w:lang w:val="fr-FR"/>
              </w:rPr>
              <w:tab/>
              <w:t>Combination A : Mode 2 NR SL + Mode 4 LTE SL</w:t>
            </w:r>
          </w:p>
          <w:p w14:paraId="391DFBCC" w14:textId="77777777" w:rsidR="002767F4" w:rsidRDefault="001C679F">
            <w:pPr>
              <w:spacing w:before="0" w:after="0" w:line="280" w:lineRule="atLeast"/>
              <w:rPr>
                <w:sz w:val="22"/>
                <w:lang w:val="fr-FR"/>
              </w:rPr>
            </w:pPr>
            <w:r>
              <w:rPr>
                <w:sz w:val="22"/>
                <w:lang w:val="fr-FR"/>
              </w:rPr>
              <w:t>•</w:t>
            </w:r>
            <w:r>
              <w:rPr>
                <w:sz w:val="22"/>
                <w:lang w:val="fr-FR"/>
              </w:rPr>
              <w:tab/>
              <w:t>Combination B : Mode 1 NR SL + Mode 4 LTE SL</w:t>
            </w:r>
          </w:p>
          <w:p w14:paraId="4E518059" w14:textId="77777777" w:rsidR="002767F4" w:rsidRDefault="001C679F">
            <w:pPr>
              <w:spacing w:before="0" w:after="0" w:line="280" w:lineRule="atLeast"/>
              <w:rPr>
                <w:sz w:val="22"/>
                <w:lang w:val="fr-FR"/>
              </w:rPr>
            </w:pPr>
            <w:r>
              <w:rPr>
                <w:sz w:val="22"/>
                <w:lang w:val="fr-FR"/>
              </w:rPr>
              <w:t>•</w:t>
            </w:r>
            <w:r>
              <w:rPr>
                <w:sz w:val="22"/>
                <w:lang w:val="fr-FR"/>
              </w:rPr>
              <w:tab/>
              <w:t>Combination C : Mode 2 NR SL + Mode 3 LTE SL</w:t>
            </w:r>
          </w:p>
          <w:p w14:paraId="27B5BBDD" w14:textId="77777777" w:rsidR="002767F4" w:rsidRDefault="001C679F">
            <w:pPr>
              <w:spacing w:before="0" w:after="0" w:line="280" w:lineRule="atLeast"/>
              <w:rPr>
                <w:sz w:val="22"/>
                <w:lang w:val="fr-FR"/>
              </w:rPr>
            </w:pPr>
            <w:r>
              <w:rPr>
                <w:sz w:val="22"/>
                <w:lang w:val="fr-FR"/>
              </w:rPr>
              <w:t>•</w:t>
            </w:r>
            <w:r>
              <w:rPr>
                <w:sz w:val="22"/>
                <w:lang w:val="fr-FR"/>
              </w:rPr>
              <w:tab/>
              <w:t>Combination D :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r>
              <w:rPr>
                <w:sz w:val="22"/>
              </w:rPr>
              <w:t>Transsion</w:t>
            </w:r>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lastRenderedPageBreak/>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7777777" w:rsidR="002767F4" w:rsidRDefault="001C679F">
            <w:pPr>
              <w:spacing w:before="0" w:after="0" w:line="280" w:lineRule="atLeast"/>
              <w:rPr>
                <w:sz w:val="22"/>
              </w:rPr>
            </w:pPr>
            <w:r>
              <w:rPr>
                <w:sz w:val="22"/>
              </w:rPr>
              <w:t>o</w:t>
            </w:r>
            <w:r>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77777777"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UEs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77777777" w:rsidR="002767F4" w:rsidRDefault="001C679F">
            <w:pPr>
              <w:spacing w:before="0" w:after="0" w:line="280" w:lineRule="atLeast"/>
              <w:rPr>
                <w:sz w:val="22"/>
              </w:rPr>
            </w:pPr>
            <w:r>
              <w:rPr>
                <w:sz w:val="22"/>
              </w:rPr>
              <w:t>Observation 3</w:t>
            </w:r>
            <w:r>
              <w:rPr>
                <w:sz w:val="22"/>
              </w:rPr>
              <w:tab/>
              <w:t>Information about the presence of LTE UEs allows for addressing Combination B by means of scheduling restrictions applied by the gNB.</w:t>
            </w:r>
          </w:p>
          <w:p w14:paraId="4C48B446" w14:textId="77777777" w:rsidR="002767F4" w:rsidRDefault="001C679F">
            <w:pPr>
              <w:spacing w:before="0" w:after="0" w:line="280" w:lineRule="atLeast"/>
              <w:rPr>
                <w:sz w:val="22"/>
              </w:rPr>
            </w:pPr>
            <w:r>
              <w:rPr>
                <w:sz w:val="22"/>
              </w:rPr>
              <w:t>Observation 4</w:t>
            </w:r>
            <w:r>
              <w:rPr>
                <w:sz w:val="22"/>
              </w:rPr>
              <w:tab/>
              <w:t>Information about reservations by LTE UEs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lastRenderedPageBreak/>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宋体"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宋体"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宋体"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3"/>
      </w:pPr>
      <w:r>
        <w:lastRenderedPageBreak/>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4D58D294" w14:textId="77777777">
        <w:trPr>
          <w:trHeight w:val="158"/>
        </w:trPr>
        <w:tc>
          <w:tcPr>
            <w:tcW w:w="1680" w:type="dxa"/>
          </w:tcPr>
          <w:p w14:paraId="1EEAD99A" w14:textId="77777777" w:rsidR="002767F4" w:rsidRDefault="001C679F">
            <w:pPr>
              <w:spacing w:before="0" w:after="0" w:line="280" w:lineRule="atLeast"/>
              <w:rPr>
                <w:b/>
                <w:bCs/>
                <w:sz w:val="22"/>
              </w:rPr>
            </w:pPr>
            <w:r>
              <w:rPr>
                <w:b/>
                <w:bCs/>
                <w:sz w:val="22"/>
              </w:rPr>
              <w:t>Company</w:t>
            </w:r>
          </w:p>
        </w:tc>
        <w:tc>
          <w:tcPr>
            <w:tcW w:w="1735" w:type="dxa"/>
          </w:tcPr>
          <w:p w14:paraId="32AABE11" w14:textId="77777777" w:rsidR="002767F4" w:rsidRDefault="001C679F">
            <w:pPr>
              <w:spacing w:before="0" w:after="0" w:line="280" w:lineRule="atLeast"/>
              <w:rPr>
                <w:b/>
                <w:bCs/>
                <w:sz w:val="22"/>
              </w:rPr>
            </w:pPr>
            <w:r>
              <w:rPr>
                <w:b/>
                <w:bCs/>
                <w:sz w:val="22"/>
              </w:rPr>
              <w:t>Yes/No</w:t>
            </w:r>
          </w:p>
        </w:tc>
        <w:tc>
          <w:tcPr>
            <w:tcW w:w="6570"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trPr>
          <w:trHeight w:val="158"/>
        </w:trPr>
        <w:tc>
          <w:tcPr>
            <w:tcW w:w="1680" w:type="dxa"/>
          </w:tcPr>
          <w:p w14:paraId="639354C0" w14:textId="77777777" w:rsidR="002767F4" w:rsidRDefault="001C679F">
            <w:pPr>
              <w:spacing w:before="0" w:after="0" w:line="280" w:lineRule="atLeast"/>
              <w:rPr>
                <w:sz w:val="22"/>
              </w:rPr>
            </w:pPr>
            <w:r>
              <w:rPr>
                <w:sz w:val="22"/>
              </w:rPr>
              <w:t>CATT2</w:t>
            </w:r>
          </w:p>
        </w:tc>
        <w:tc>
          <w:tcPr>
            <w:tcW w:w="1735" w:type="dxa"/>
          </w:tcPr>
          <w:p w14:paraId="2627338D" w14:textId="77777777" w:rsidR="002767F4" w:rsidRDefault="001C679F">
            <w:pPr>
              <w:spacing w:before="0" w:after="0" w:line="280" w:lineRule="atLeast"/>
              <w:rPr>
                <w:sz w:val="22"/>
              </w:rPr>
            </w:pPr>
            <w:r>
              <w:rPr>
                <w:sz w:val="22"/>
              </w:rPr>
              <w:t>Comments</w:t>
            </w:r>
          </w:p>
        </w:tc>
        <w:tc>
          <w:tcPr>
            <w:tcW w:w="6570"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trPr>
          <w:trHeight w:val="158"/>
        </w:trPr>
        <w:tc>
          <w:tcPr>
            <w:tcW w:w="1680" w:type="dxa"/>
          </w:tcPr>
          <w:p w14:paraId="50B2A0BD" w14:textId="77777777" w:rsidR="002767F4" w:rsidRDefault="001C679F">
            <w:pPr>
              <w:spacing w:before="0" w:after="0" w:line="280" w:lineRule="atLeast"/>
              <w:rPr>
                <w:sz w:val="22"/>
              </w:rPr>
            </w:pPr>
            <w:r>
              <w:rPr>
                <w:sz w:val="22"/>
              </w:rPr>
              <w:t>Toyota</w:t>
            </w:r>
          </w:p>
        </w:tc>
        <w:tc>
          <w:tcPr>
            <w:tcW w:w="1735" w:type="dxa"/>
          </w:tcPr>
          <w:p w14:paraId="6FCD4FA5" w14:textId="77777777" w:rsidR="002767F4" w:rsidRDefault="001C679F">
            <w:pPr>
              <w:spacing w:before="0" w:after="0" w:line="280" w:lineRule="atLeast"/>
              <w:rPr>
                <w:sz w:val="22"/>
              </w:rPr>
            </w:pPr>
            <w:r>
              <w:rPr>
                <w:sz w:val="22"/>
              </w:rPr>
              <w:t>Yes</w:t>
            </w:r>
          </w:p>
        </w:tc>
        <w:tc>
          <w:tcPr>
            <w:tcW w:w="6570" w:type="dxa"/>
          </w:tcPr>
          <w:p w14:paraId="327556BE" w14:textId="77777777" w:rsidR="002767F4" w:rsidRDefault="002767F4">
            <w:pPr>
              <w:spacing w:before="0" w:after="0" w:line="280" w:lineRule="atLeast"/>
              <w:rPr>
                <w:sz w:val="22"/>
              </w:rPr>
            </w:pPr>
          </w:p>
        </w:tc>
      </w:tr>
      <w:tr w:rsidR="002767F4" w14:paraId="54EF12B2" w14:textId="77777777">
        <w:trPr>
          <w:trHeight w:val="158"/>
        </w:trPr>
        <w:tc>
          <w:tcPr>
            <w:tcW w:w="1680" w:type="dxa"/>
          </w:tcPr>
          <w:p w14:paraId="00F8E29F" w14:textId="77777777" w:rsidR="002767F4" w:rsidRDefault="001C679F">
            <w:pPr>
              <w:spacing w:before="0" w:after="0" w:line="280" w:lineRule="atLeast"/>
              <w:rPr>
                <w:sz w:val="22"/>
              </w:rPr>
            </w:pPr>
            <w:r>
              <w:rPr>
                <w:sz w:val="22"/>
              </w:rPr>
              <w:t>Qualcomm</w:t>
            </w:r>
          </w:p>
        </w:tc>
        <w:tc>
          <w:tcPr>
            <w:tcW w:w="1735" w:type="dxa"/>
          </w:tcPr>
          <w:p w14:paraId="671A98B2" w14:textId="77777777" w:rsidR="002767F4" w:rsidRDefault="001C679F">
            <w:pPr>
              <w:spacing w:before="0" w:after="0" w:line="280" w:lineRule="atLeast"/>
              <w:rPr>
                <w:sz w:val="22"/>
              </w:rPr>
            </w:pPr>
            <w:r>
              <w:rPr>
                <w:sz w:val="22"/>
              </w:rPr>
              <w:t>Yes</w:t>
            </w:r>
          </w:p>
        </w:tc>
        <w:tc>
          <w:tcPr>
            <w:tcW w:w="6570"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trPr>
          <w:trHeight w:val="158"/>
        </w:trPr>
        <w:tc>
          <w:tcPr>
            <w:tcW w:w="1680"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66A28A" w14:textId="77777777" w:rsidR="002767F4" w:rsidRDefault="002767F4">
            <w:pPr>
              <w:spacing w:before="0" w:after="0" w:line="280" w:lineRule="atLeast"/>
              <w:rPr>
                <w:sz w:val="22"/>
              </w:rPr>
            </w:pPr>
          </w:p>
        </w:tc>
      </w:tr>
      <w:tr w:rsidR="002767F4" w14:paraId="486591EB" w14:textId="77777777">
        <w:trPr>
          <w:trHeight w:val="158"/>
        </w:trPr>
        <w:tc>
          <w:tcPr>
            <w:tcW w:w="1680" w:type="dxa"/>
          </w:tcPr>
          <w:p w14:paraId="2551ADE0"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46F65A" w14:textId="77777777" w:rsidR="002767F4" w:rsidRDefault="002767F4">
            <w:pPr>
              <w:spacing w:before="0" w:after="0" w:line="280" w:lineRule="atLeast"/>
              <w:rPr>
                <w:sz w:val="22"/>
              </w:rPr>
            </w:pPr>
          </w:p>
        </w:tc>
      </w:tr>
      <w:tr w:rsidR="008E122B" w14:paraId="215C54DC" w14:textId="77777777">
        <w:trPr>
          <w:trHeight w:val="158"/>
        </w:trPr>
        <w:tc>
          <w:tcPr>
            <w:tcW w:w="1680"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trPr>
          <w:trHeight w:val="158"/>
        </w:trPr>
        <w:tc>
          <w:tcPr>
            <w:tcW w:w="1680"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trPr>
          <w:trHeight w:val="158"/>
        </w:trPr>
        <w:tc>
          <w:tcPr>
            <w:tcW w:w="1680" w:type="dxa"/>
          </w:tcPr>
          <w:p w14:paraId="25AAB57F" w14:textId="48BACC0D" w:rsidR="00486482" w:rsidRDefault="00486482" w:rsidP="00486482">
            <w:pPr>
              <w:spacing w:after="0" w:line="280" w:lineRule="atLeast"/>
              <w:rPr>
                <w:rFonts w:hint="eastAsia"/>
                <w:sz w:val="22"/>
                <w:lang w:val="en-US" w:eastAsia="zh-CN"/>
              </w:rPr>
            </w:pPr>
            <w:r>
              <w:rPr>
                <w:rFonts w:hint="eastAsia"/>
                <w:sz w:val="22"/>
                <w:lang w:eastAsia="zh-CN"/>
              </w:rPr>
              <w:t>Sh</w:t>
            </w:r>
            <w:r>
              <w:rPr>
                <w:sz w:val="22"/>
                <w:lang w:eastAsia="zh-CN"/>
              </w:rPr>
              <w:t>arp</w:t>
            </w:r>
          </w:p>
        </w:tc>
        <w:tc>
          <w:tcPr>
            <w:tcW w:w="1735" w:type="dxa"/>
          </w:tcPr>
          <w:p w14:paraId="21019BB6" w14:textId="615D3AA7" w:rsidR="00486482" w:rsidRDefault="00486482" w:rsidP="00486482">
            <w:pPr>
              <w:spacing w:after="0" w:line="280" w:lineRule="atLeast"/>
              <w:rPr>
                <w:rFonts w:hint="eastAsia"/>
                <w:sz w:val="22"/>
                <w:lang w:val="en-US" w:eastAsia="zh-CN"/>
              </w:rPr>
            </w:pPr>
            <w:r>
              <w:rPr>
                <w:rFonts w:hint="eastAsia"/>
                <w:sz w:val="22"/>
                <w:lang w:eastAsia="zh-CN"/>
              </w:rPr>
              <w:t>Y</w:t>
            </w:r>
            <w:r>
              <w:rPr>
                <w:sz w:val="22"/>
                <w:lang w:eastAsia="zh-CN"/>
              </w:rPr>
              <w:t>es</w:t>
            </w:r>
          </w:p>
        </w:tc>
        <w:tc>
          <w:tcPr>
            <w:tcW w:w="6570" w:type="dxa"/>
          </w:tcPr>
          <w:p w14:paraId="55BF4F09" w14:textId="77777777" w:rsidR="00486482" w:rsidRPr="008E122B" w:rsidRDefault="00486482" w:rsidP="00486482">
            <w:pPr>
              <w:spacing w:after="0" w:line="280" w:lineRule="atLeast"/>
              <w:rPr>
                <w:sz w:val="22"/>
                <w:lang w:val="en-US" w:eastAsia="zh-CN"/>
              </w:rPr>
            </w:pPr>
          </w:p>
        </w:tc>
      </w:tr>
    </w:tbl>
    <w:p w14:paraId="7B9BB930" w14:textId="77777777" w:rsidR="002767F4" w:rsidRDefault="002767F4">
      <w:pPr>
        <w:pStyle w:val="3GPPNormalText"/>
        <w:spacing w:before="240" w:after="0"/>
        <w:rPr>
          <w:b/>
        </w:rPr>
      </w:pPr>
    </w:p>
    <w:p w14:paraId="201C57F5"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2"/>
        <w:ind w:left="540"/>
      </w:pPr>
      <w:r>
        <w:lastRenderedPageBreak/>
        <w:t xml:space="preserve"> [</w:t>
      </w:r>
      <w:r>
        <w:rPr>
          <w:i/>
        </w:rPr>
        <w:t>ACTIVE</w:t>
      </w:r>
      <w:r>
        <w:t>] Issue 3-2: Synchronization</w:t>
      </w:r>
    </w:p>
    <w:p w14:paraId="3B7D4236" w14:textId="77777777" w:rsidR="002767F4" w:rsidRDefault="001C679F">
      <w:pPr>
        <w:pStyle w:val="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lastRenderedPageBreak/>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lastRenderedPageBreak/>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Proposal 4: RAN1 to study and clearly identify the pros, cons, and tradeoffs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lastRenderedPageBreak/>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3"/>
        <w:tabs>
          <w:tab w:val="clear" w:pos="432"/>
        </w:tabs>
        <w:spacing w:line="240" w:lineRule="auto"/>
      </w:pPr>
      <w:r>
        <w:lastRenderedPageBreak/>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561D1F22" w14:textId="77777777">
        <w:trPr>
          <w:trHeight w:val="158"/>
        </w:trPr>
        <w:tc>
          <w:tcPr>
            <w:tcW w:w="1680" w:type="dxa"/>
          </w:tcPr>
          <w:p w14:paraId="2E904E06" w14:textId="77777777" w:rsidR="002767F4" w:rsidRDefault="001C679F">
            <w:pPr>
              <w:spacing w:before="0" w:after="0" w:line="280" w:lineRule="atLeast"/>
              <w:rPr>
                <w:b/>
                <w:bCs/>
                <w:sz w:val="22"/>
              </w:rPr>
            </w:pPr>
            <w:r>
              <w:rPr>
                <w:b/>
                <w:bCs/>
                <w:sz w:val="22"/>
              </w:rPr>
              <w:t>Company</w:t>
            </w:r>
          </w:p>
        </w:tc>
        <w:tc>
          <w:tcPr>
            <w:tcW w:w="1735" w:type="dxa"/>
          </w:tcPr>
          <w:p w14:paraId="710E0349" w14:textId="77777777" w:rsidR="002767F4" w:rsidRDefault="001C679F">
            <w:pPr>
              <w:spacing w:before="0" w:after="0" w:line="280" w:lineRule="atLeast"/>
              <w:rPr>
                <w:b/>
                <w:bCs/>
                <w:sz w:val="22"/>
              </w:rPr>
            </w:pPr>
            <w:r>
              <w:rPr>
                <w:b/>
                <w:bCs/>
                <w:sz w:val="22"/>
              </w:rPr>
              <w:t>Yes/No</w:t>
            </w:r>
          </w:p>
        </w:tc>
        <w:tc>
          <w:tcPr>
            <w:tcW w:w="6570"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trPr>
          <w:trHeight w:val="158"/>
        </w:trPr>
        <w:tc>
          <w:tcPr>
            <w:tcW w:w="1680" w:type="dxa"/>
          </w:tcPr>
          <w:p w14:paraId="36403F02" w14:textId="77777777" w:rsidR="002767F4" w:rsidRDefault="001C679F">
            <w:pPr>
              <w:spacing w:before="0" w:after="0" w:line="280" w:lineRule="atLeast"/>
              <w:rPr>
                <w:sz w:val="22"/>
              </w:rPr>
            </w:pPr>
            <w:r>
              <w:rPr>
                <w:sz w:val="22"/>
              </w:rPr>
              <w:t>CATT2</w:t>
            </w:r>
          </w:p>
        </w:tc>
        <w:tc>
          <w:tcPr>
            <w:tcW w:w="1735" w:type="dxa"/>
          </w:tcPr>
          <w:p w14:paraId="59BDF988" w14:textId="77777777" w:rsidR="002767F4" w:rsidRDefault="001C679F">
            <w:pPr>
              <w:spacing w:before="0" w:after="0" w:line="280" w:lineRule="atLeast"/>
              <w:rPr>
                <w:sz w:val="22"/>
              </w:rPr>
            </w:pPr>
            <w:r>
              <w:rPr>
                <w:sz w:val="22"/>
              </w:rPr>
              <w:t>OK</w:t>
            </w:r>
          </w:p>
        </w:tc>
        <w:tc>
          <w:tcPr>
            <w:tcW w:w="6570" w:type="dxa"/>
          </w:tcPr>
          <w:p w14:paraId="681AAD05" w14:textId="77777777" w:rsidR="002767F4" w:rsidRDefault="002767F4">
            <w:pPr>
              <w:spacing w:before="0" w:after="0" w:line="280" w:lineRule="atLeast"/>
              <w:rPr>
                <w:sz w:val="22"/>
              </w:rPr>
            </w:pPr>
          </w:p>
        </w:tc>
      </w:tr>
      <w:tr w:rsidR="002767F4" w14:paraId="78270638" w14:textId="77777777">
        <w:trPr>
          <w:trHeight w:val="158"/>
        </w:trPr>
        <w:tc>
          <w:tcPr>
            <w:tcW w:w="1680" w:type="dxa"/>
          </w:tcPr>
          <w:p w14:paraId="7B14A809" w14:textId="77777777" w:rsidR="002767F4" w:rsidRDefault="001C679F">
            <w:pPr>
              <w:spacing w:before="0" w:after="0" w:line="280" w:lineRule="atLeast"/>
              <w:rPr>
                <w:sz w:val="22"/>
              </w:rPr>
            </w:pPr>
            <w:r>
              <w:rPr>
                <w:sz w:val="22"/>
              </w:rPr>
              <w:t>Toyota</w:t>
            </w:r>
          </w:p>
        </w:tc>
        <w:tc>
          <w:tcPr>
            <w:tcW w:w="1735" w:type="dxa"/>
          </w:tcPr>
          <w:p w14:paraId="627F6C1C" w14:textId="77777777" w:rsidR="002767F4" w:rsidRDefault="001C679F">
            <w:pPr>
              <w:spacing w:before="0" w:after="0" w:line="280" w:lineRule="atLeast"/>
              <w:rPr>
                <w:sz w:val="22"/>
              </w:rPr>
            </w:pPr>
            <w:r>
              <w:rPr>
                <w:sz w:val="22"/>
              </w:rPr>
              <w:t>Yes</w:t>
            </w:r>
          </w:p>
        </w:tc>
        <w:tc>
          <w:tcPr>
            <w:tcW w:w="6570" w:type="dxa"/>
          </w:tcPr>
          <w:p w14:paraId="4D635E57" w14:textId="77777777" w:rsidR="002767F4" w:rsidRDefault="002767F4">
            <w:pPr>
              <w:spacing w:before="0" w:after="0" w:line="280" w:lineRule="atLeast"/>
              <w:rPr>
                <w:sz w:val="22"/>
              </w:rPr>
            </w:pPr>
          </w:p>
        </w:tc>
      </w:tr>
      <w:tr w:rsidR="002767F4" w14:paraId="55821FCA" w14:textId="77777777">
        <w:trPr>
          <w:trHeight w:val="158"/>
        </w:trPr>
        <w:tc>
          <w:tcPr>
            <w:tcW w:w="1680" w:type="dxa"/>
          </w:tcPr>
          <w:p w14:paraId="0C2691A7" w14:textId="77777777" w:rsidR="002767F4" w:rsidRDefault="001C679F">
            <w:pPr>
              <w:spacing w:before="0" w:after="0" w:line="280" w:lineRule="atLeast"/>
              <w:rPr>
                <w:sz w:val="22"/>
              </w:rPr>
            </w:pPr>
            <w:r>
              <w:rPr>
                <w:sz w:val="22"/>
              </w:rPr>
              <w:t>Qualcomm</w:t>
            </w:r>
          </w:p>
        </w:tc>
        <w:tc>
          <w:tcPr>
            <w:tcW w:w="1735" w:type="dxa"/>
          </w:tcPr>
          <w:p w14:paraId="3EAE5829" w14:textId="77777777" w:rsidR="002767F4" w:rsidRDefault="001C679F">
            <w:pPr>
              <w:spacing w:before="0" w:after="0" w:line="280" w:lineRule="atLeast"/>
              <w:rPr>
                <w:sz w:val="22"/>
              </w:rPr>
            </w:pPr>
            <w:r>
              <w:rPr>
                <w:sz w:val="22"/>
              </w:rPr>
              <w:t>Yes</w:t>
            </w:r>
          </w:p>
        </w:tc>
        <w:tc>
          <w:tcPr>
            <w:tcW w:w="6570"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trPr>
          <w:trHeight w:val="158"/>
        </w:trPr>
        <w:tc>
          <w:tcPr>
            <w:tcW w:w="1680"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8D2590B" w14:textId="77777777" w:rsidR="002767F4" w:rsidRDefault="002767F4">
            <w:pPr>
              <w:spacing w:before="0" w:after="0" w:line="280" w:lineRule="atLeast"/>
              <w:rPr>
                <w:sz w:val="22"/>
              </w:rPr>
            </w:pPr>
          </w:p>
        </w:tc>
      </w:tr>
      <w:tr w:rsidR="002767F4" w14:paraId="775471B0" w14:textId="77777777">
        <w:trPr>
          <w:trHeight w:val="158"/>
        </w:trPr>
        <w:tc>
          <w:tcPr>
            <w:tcW w:w="1680" w:type="dxa"/>
          </w:tcPr>
          <w:p w14:paraId="199A5FB7"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0C4C207" w14:textId="77777777" w:rsidR="002767F4" w:rsidRDefault="002767F4">
            <w:pPr>
              <w:spacing w:before="0" w:after="0" w:line="280" w:lineRule="atLeast"/>
              <w:rPr>
                <w:sz w:val="22"/>
              </w:rPr>
            </w:pPr>
          </w:p>
        </w:tc>
      </w:tr>
      <w:tr w:rsidR="008E122B" w14:paraId="57E0C538" w14:textId="77777777">
        <w:trPr>
          <w:trHeight w:val="158"/>
        </w:trPr>
        <w:tc>
          <w:tcPr>
            <w:tcW w:w="1680"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trPr>
          <w:trHeight w:val="158"/>
        </w:trPr>
        <w:tc>
          <w:tcPr>
            <w:tcW w:w="1680"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trPr>
          <w:trHeight w:val="158"/>
        </w:trPr>
        <w:tc>
          <w:tcPr>
            <w:tcW w:w="1680" w:type="dxa"/>
          </w:tcPr>
          <w:p w14:paraId="466349ED" w14:textId="66AC8E89" w:rsidR="00486482" w:rsidRDefault="00486482" w:rsidP="00486482">
            <w:pPr>
              <w:spacing w:after="0" w:line="280" w:lineRule="atLeast"/>
              <w:rPr>
                <w:rFonts w:hint="eastAsia"/>
                <w:sz w:val="22"/>
                <w:lang w:val="en-US" w:eastAsia="zh-CN"/>
              </w:rPr>
            </w:pPr>
            <w:bookmarkStart w:id="2" w:name="_GoBack" w:colFirst="2" w:colLast="2"/>
            <w:r>
              <w:rPr>
                <w:rFonts w:hint="eastAsia"/>
                <w:sz w:val="22"/>
                <w:lang w:eastAsia="zh-CN"/>
              </w:rPr>
              <w:t>Sh</w:t>
            </w:r>
            <w:r>
              <w:rPr>
                <w:sz w:val="22"/>
                <w:lang w:eastAsia="zh-CN"/>
              </w:rPr>
              <w:t>arp</w:t>
            </w:r>
          </w:p>
        </w:tc>
        <w:tc>
          <w:tcPr>
            <w:tcW w:w="1735" w:type="dxa"/>
          </w:tcPr>
          <w:p w14:paraId="6A17E183" w14:textId="550CF583" w:rsidR="00486482" w:rsidRDefault="00486482" w:rsidP="00486482">
            <w:pPr>
              <w:spacing w:after="0" w:line="280" w:lineRule="atLeast"/>
              <w:rPr>
                <w:rFonts w:hint="eastAsia"/>
                <w:sz w:val="22"/>
                <w:lang w:val="en-US" w:eastAsia="zh-CN"/>
              </w:rPr>
            </w:pPr>
            <w:r>
              <w:rPr>
                <w:rFonts w:hint="eastAsia"/>
                <w:sz w:val="22"/>
                <w:lang w:eastAsia="zh-CN"/>
              </w:rPr>
              <w:t>Y</w:t>
            </w:r>
            <w:r>
              <w:rPr>
                <w:sz w:val="22"/>
                <w:lang w:eastAsia="zh-CN"/>
              </w:rPr>
              <w:t>es</w:t>
            </w:r>
          </w:p>
        </w:tc>
        <w:tc>
          <w:tcPr>
            <w:tcW w:w="6570" w:type="dxa"/>
          </w:tcPr>
          <w:p w14:paraId="31334551" w14:textId="77777777" w:rsidR="00486482" w:rsidRPr="008E122B" w:rsidRDefault="00486482" w:rsidP="00486482">
            <w:pPr>
              <w:spacing w:after="0" w:line="280" w:lineRule="atLeast"/>
              <w:rPr>
                <w:sz w:val="22"/>
                <w:lang w:val="en-US" w:eastAsia="zh-CN"/>
              </w:rPr>
            </w:pPr>
          </w:p>
        </w:tc>
      </w:tr>
      <w:bookmarkEnd w:id="2"/>
    </w:tbl>
    <w:p w14:paraId="7D9A6365" w14:textId="77777777" w:rsidR="002767F4" w:rsidRDefault="002767F4">
      <w:pPr>
        <w:pStyle w:val="3GPPNormalText"/>
        <w:spacing w:before="240" w:after="0"/>
        <w:rPr>
          <w:b/>
        </w:rPr>
      </w:pPr>
    </w:p>
    <w:p w14:paraId="26E420A4"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2"/>
        <w:ind w:left="540"/>
      </w:pPr>
      <w:r>
        <w:t>Operational Scenarios</w:t>
      </w:r>
    </w:p>
    <w:p w14:paraId="25F09D12" w14:textId="77777777" w:rsidR="002767F4" w:rsidRDefault="001C679F">
      <w:pPr>
        <w:pStyle w:val="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lastRenderedPageBreak/>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1"/>
      </w:pPr>
      <w:r>
        <w:t xml:space="preserve">Collection of Agreements/Conclusions from Previous Meetings </w:t>
      </w:r>
    </w:p>
    <w:p w14:paraId="05D5E389" w14:textId="77777777" w:rsidR="002767F4" w:rsidRDefault="001C679F">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Salvatore Talarico</w:t>
            </w:r>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1D903504" w14:textId="77777777" w:rsidR="002767F4" w:rsidRDefault="00486482">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r>
              <w:rPr>
                <w:rFonts w:hint="eastAsia"/>
                <w:sz w:val="22"/>
                <w:lang w:eastAsia="zh-CN"/>
              </w:rPr>
              <w:t>ZTE,Sanechips</w:t>
            </w:r>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r>
              <w:rPr>
                <w:rFonts w:hint="eastAsia"/>
                <w:sz w:val="22"/>
                <w:lang w:val="en-US" w:eastAsia="zh-CN"/>
              </w:rPr>
              <w:t>Transsion</w:t>
            </w:r>
          </w:p>
        </w:tc>
        <w:tc>
          <w:tcPr>
            <w:tcW w:w="3235" w:type="dxa"/>
          </w:tcPr>
          <w:p w14:paraId="7DE44A6E" w14:textId="77777777" w:rsidR="002767F4" w:rsidRDefault="001C679F">
            <w:pPr>
              <w:spacing w:before="0" w:after="0" w:line="280" w:lineRule="atLeast"/>
              <w:rPr>
                <w:sz w:val="22"/>
                <w:lang w:eastAsia="zh-CN"/>
              </w:rPr>
            </w:pPr>
            <w:r>
              <w:rPr>
                <w:rFonts w:hint="eastAsia"/>
                <w:sz w:val="22"/>
                <w:lang w:val="en-US" w:eastAsia="zh-CN"/>
              </w:rPr>
              <w:t>Xingya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r>
              <w:rPr>
                <w:rFonts w:hint="eastAsia"/>
                <w:sz w:val="22"/>
                <w:lang w:eastAsia="zh-CN"/>
              </w:rPr>
              <w:t>Luochao</w:t>
            </w:r>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Zhao Qun</w:t>
            </w:r>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r>
              <w:rPr>
                <w:rFonts w:hint="eastAsia"/>
                <w:sz w:val="22"/>
                <w:lang w:eastAsia="zh-CN"/>
              </w:rPr>
              <w:t>Jin</w:t>
            </w:r>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r>
              <w:rPr>
                <w:rFonts w:ascii="Calibri" w:hAnsi="Calibri" w:cs="Calibri"/>
                <w:sz w:val="22"/>
              </w:rPr>
              <w:t>name.surname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r>
              <w:rPr>
                <w:rFonts w:hint="eastAsia"/>
                <w:sz w:val="22"/>
                <w:lang w:eastAsia="zh-CN"/>
              </w:rPr>
              <w:t>X</w:t>
            </w:r>
            <w:r>
              <w:rPr>
                <w:sz w:val="22"/>
                <w:lang w:eastAsia="zh-CN"/>
              </w:rPr>
              <w:t>iaoxue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r>
              <w:rPr>
                <w:sz w:val="22"/>
              </w:rPr>
              <w:t>c.ciochina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r>
              <w:rPr>
                <w:sz w:val="22"/>
              </w:rPr>
              <w:t>ShupengLi</w:t>
            </w:r>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r>
              <w:rPr>
                <w:sz w:val="22"/>
              </w:rPr>
              <w:t>Daesung Hwang</w:t>
            </w:r>
          </w:p>
        </w:tc>
        <w:tc>
          <w:tcPr>
            <w:tcW w:w="4770" w:type="dxa"/>
          </w:tcPr>
          <w:p w14:paraId="2AFCA141" w14:textId="77777777" w:rsidR="002767F4" w:rsidRDefault="00486482">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r>
              <w:rPr>
                <w:sz w:val="22"/>
              </w:rPr>
              <w:t>Pengyu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D8A34" w14:textId="77777777" w:rsidR="001C679F" w:rsidRDefault="001C679F">
      <w:pPr>
        <w:spacing w:after="0" w:line="240" w:lineRule="auto"/>
      </w:pPr>
      <w:r>
        <w:separator/>
      </w:r>
    </w:p>
  </w:endnote>
  <w:endnote w:type="continuationSeparator" w:id="0">
    <w:p w14:paraId="7065B71E" w14:textId="77777777" w:rsidR="001C679F" w:rsidRDefault="001C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6A56" w14:textId="10BB6345" w:rsidR="002767F4" w:rsidRDefault="001C679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86482">
      <w:rPr>
        <w:rStyle w:val="CharChar2"/>
        <w:b/>
        <w:i/>
        <w:noProof/>
        <w:sz w:val="18"/>
      </w:rPr>
      <w:t>83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86482">
      <w:rPr>
        <w:rStyle w:val="CharChar2"/>
        <w:b/>
        <w:i/>
        <w:noProof/>
        <w:sz w:val="18"/>
      </w:rPr>
      <w:t>84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A14B" w14:textId="77777777" w:rsidR="001C679F" w:rsidRDefault="001C679F">
      <w:pPr>
        <w:spacing w:after="0" w:line="240" w:lineRule="auto"/>
      </w:pPr>
      <w:r>
        <w:separator/>
      </w:r>
    </w:p>
  </w:footnote>
  <w:footnote w:type="continuationSeparator" w:id="0">
    <w:p w14:paraId="1075B706" w14:textId="77777777" w:rsidR="001C679F" w:rsidRDefault="001C6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8"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0"/>
  </w:num>
  <w:num w:numId="8">
    <w:abstractNumId w:val="18"/>
  </w:num>
  <w:num w:numId="9">
    <w:abstractNumId w:val="13"/>
  </w:num>
  <w:num w:numId="10">
    <w:abstractNumId w:val="7"/>
  </w:num>
  <w:num w:numId="11">
    <w:abstractNumId w:val="1"/>
  </w:num>
  <w:num w:numId="12">
    <w:abstractNumId w:val="15"/>
  </w:num>
  <w:num w:numId="13">
    <w:abstractNumId w:val="16"/>
  </w:num>
  <w:num w:numId="14">
    <w:abstractNumId w:val="11"/>
  </w:num>
  <w:num w:numId="15">
    <w:abstractNumId w:val="12"/>
  </w:num>
  <w:num w:numId="16">
    <w:abstractNumId w:val="2"/>
  </w:num>
  <w:num w:numId="17">
    <w:abstractNumId w:val="14"/>
  </w:num>
  <w:num w:numId="18">
    <w:abstractNumId w:val="4"/>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2"/>
    <w:next w:val="a"/>
    <w:semiHidden/>
    <w:qFormat/>
    <w:pPr>
      <w:ind w:left="1701" w:hanging="1701"/>
    </w:pPr>
  </w:style>
  <w:style w:type="paragraph" w:styleId="42">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3">
    <w:name w:val="List Number 2"/>
    <w:basedOn w:val="a4"/>
    <w:pPr>
      <w:ind w:left="851"/>
    </w:pPr>
  </w:style>
  <w:style w:type="paragraph" w:styleId="a4">
    <w:name w:val="List Number"/>
    <w:basedOn w:val="a3"/>
    <w:qFormat/>
  </w:style>
  <w:style w:type="paragraph" w:styleId="43">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rPr>
      <w:i/>
    </w:rPr>
  </w:style>
  <w:style w:type="paragraph" w:styleId="ab">
    <w:name w:val="Body Text"/>
    <w:basedOn w:val="a"/>
    <w:qFormat/>
    <w:pPr>
      <w:spacing w:after="120"/>
      <w:jc w:val="both"/>
    </w:pPr>
    <w:rPr>
      <w:rFonts w:ascii="Times" w:hAnsi="Times"/>
      <w:szCs w:val="24"/>
      <w:lang w:val="en-US"/>
    </w:rPr>
  </w:style>
  <w:style w:type="paragraph" w:styleId="52">
    <w:name w:val="List Bullet 5"/>
    <w:basedOn w:val="43"/>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f1">
    <w:name w:val="Subtitle"/>
    <w:basedOn w:val="a"/>
    <w:next w:val="a"/>
    <w:link w:val="af2"/>
    <w:qFormat/>
    <w:pPr>
      <w:spacing w:after="60"/>
      <w:jc w:val="center"/>
      <w:outlineLvl w:val="1"/>
    </w:pPr>
    <w:rPr>
      <w:rFonts w:ascii="Cambria" w:eastAsia="Times New Roman" w:hAnsi="Cambria"/>
      <w:sz w:val="24"/>
      <w:szCs w:val="24"/>
      <w:lang w:eastAsia="zh-CN"/>
    </w:rPr>
  </w:style>
  <w:style w:type="paragraph" w:styleId="af3">
    <w:name w:val="footnote text"/>
    <w:basedOn w:val="a"/>
    <w:semiHidden/>
    <w:pPr>
      <w:keepLines/>
      <w:spacing w:after="0"/>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a3"/>
    <w:link w:val="B10"/>
    <w:uiPriority w:val="99"/>
    <w:qFormat/>
  </w:style>
  <w:style w:type="paragraph" w:customStyle="1" w:styleId="B2">
    <w:name w:val="B2"/>
    <w:basedOn w:val="21"/>
    <w:qFormat/>
  </w:style>
  <w:style w:type="paragraph" w:customStyle="1" w:styleId="B3">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1">
    <w:name w:val="标题 4 字符"/>
    <w:link w:val="4"/>
    <w:qFormat/>
    <w:rPr>
      <w:rFonts w:ascii="Arial" w:hAnsi="Arial"/>
      <w:sz w:val="24"/>
      <w:lang w:val="en-GB"/>
    </w:rPr>
  </w:style>
  <w:style w:type="character" w:customStyle="1" w:styleId="50">
    <w:name w:val="标题 5 字符"/>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
    <w:basedOn w:val="a"/>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2">
    <w:name w:val="副标题 字符"/>
    <w:link w:val="af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aa">
    <w:name w:val="批注文字 字符"/>
    <w:link w:val="a9"/>
    <w:qFormat/>
    <w:rPr>
      <w:rFonts w:ascii="Times New Roman" w:hAnsi="Times New Roman"/>
      <w:lang w:val="en-GB"/>
    </w:rPr>
  </w:style>
  <w:style w:type="character" w:styleId="aff0">
    <w:name w:val="Placeholder Text"/>
    <w:uiPriority w:val="99"/>
    <w:semiHidden/>
    <w:qFormat/>
    <w:rPr>
      <w:color w:val="808080"/>
    </w:rPr>
  </w:style>
  <w:style w:type="character" w:customStyle="1" w:styleId="af">
    <w:name w:val="页脚 字符"/>
    <w:link w:val="ad"/>
    <w:uiPriority w:val="99"/>
    <w:qFormat/>
    <w:rPr>
      <w:rFonts w:ascii="Arial" w:hAnsi="Arial"/>
      <w:b/>
      <w:i/>
      <w:sz w:val="18"/>
    </w:rPr>
  </w:style>
  <w:style w:type="character" w:customStyle="1" w:styleId="af0">
    <w:name w:val="页眉 字符"/>
    <w:link w:val="a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b"/>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f1">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aff">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出段落2 字符"/>
    <w:link w:val="afe"/>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B4A9C3-3FC9-4382-887D-4FA490F1AA5F}">
  <ds:schemaRefs>
    <ds:schemaRef ds:uri="http://schemas.openxmlformats.org/officeDocument/2006/bibliography"/>
  </ds:schemaRefs>
</ds:datastoreItem>
</file>

<file path=customXml/itemProps8.xml><?xml version="1.0" encoding="utf-8"?>
<ds:datastoreItem xmlns:ds="http://schemas.openxmlformats.org/officeDocument/2006/customXml" ds:itemID="{2573242F-43F7-4E0A-9ED6-A077D79C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84</Pages>
  <Words>30853</Words>
  <Characters>175866</Characters>
  <Application>Microsoft Office Word</Application>
  <DocSecurity>0</DocSecurity>
  <Lines>1465</Lines>
  <Paragraphs>412</Paragraphs>
  <ScaleCrop>false</ScaleCrop>
  <Company>Fraunhofer HHI</Company>
  <LinksUpToDate>false</LinksUpToDate>
  <CharactersWithSpaces>206307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Luochao</cp:lastModifiedBy>
  <cp:revision>2</cp:revision>
  <cp:lastPrinted>2022-01-05T12:49:00Z</cp:lastPrinted>
  <dcterms:created xsi:type="dcterms:W3CDTF">2022-08-24T07:45:00Z</dcterms:created>
  <dcterms:modified xsi:type="dcterms:W3CDTF">2022-08-24T07:45:00Z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