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2B1B83E1" w14:textId="31E24D20"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lang w:eastAsia="zh-CN"/>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79418D" w:rsidRDefault="0079418D">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79418D" w:rsidRDefault="0079418D">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79418D" w:rsidRDefault="0079418D">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79418D" w:rsidRDefault="0079418D">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1901C7FA" w14:textId="77777777" w:rsidR="00B020D2" w:rsidRDefault="00B020D2">
      <w:pPr>
        <w:pStyle w:val="3GPPNormalText"/>
        <w:spacing w:after="0"/>
      </w:pPr>
    </w:p>
    <w:p w14:paraId="74617B10" w14:textId="77777777" w:rsidR="00B020D2" w:rsidRDefault="006B1C68">
      <w:pPr>
        <w:pStyle w:val="Heading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Heading2"/>
        <w:ind w:left="540"/>
      </w:pPr>
      <w:r>
        <w:t>[</w:t>
      </w:r>
      <w:r>
        <w:rPr>
          <w:i/>
        </w:rPr>
        <w:t>ACTIVE</w:t>
      </w:r>
      <w:r>
        <w:t>] Issue 1-1: Type A Devices</w:t>
      </w:r>
    </w:p>
    <w:p w14:paraId="449D9911" w14:textId="77777777" w:rsidR="00B020D2" w:rsidRDefault="006B1C68">
      <w:pPr>
        <w:pStyle w:val="Heading3"/>
      </w:pPr>
      <w:r>
        <w:t>Summary of Company Views from TDocs</w:t>
      </w:r>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lastRenderedPageBreak/>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lastRenderedPageBreak/>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r>
              <w:rPr>
                <w:sz w:val="22"/>
              </w:rPr>
              <w:lastRenderedPageBreak/>
              <w:t>Spreadtrum</w:t>
            </w:r>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r>
              <w:rPr>
                <w:sz w:val="22"/>
              </w:rPr>
              <w:t>Transsion</w:t>
            </w:r>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lastRenderedPageBreak/>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lastRenderedPageBreak/>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lastRenderedPageBreak/>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r>
              <w:rPr>
                <w:rFonts w:hint="eastAsia"/>
                <w:sz w:val="22"/>
                <w:lang w:eastAsia="zh-CN"/>
              </w:rPr>
              <w:t>Spreadtrum</w:t>
            </w:r>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 xml:space="preserve">P1-1a is a useful clarification of the definition of type A. However, it is necessary to discuss this as a package together with Proposal 1-2a, </w:t>
            </w:r>
            <w:r>
              <w:rPr>
                <w:sz w:val="22"/>
              </w:rPr>
              <w:lastRenderedPageBreak/>
              <w:t>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lastRenderedPageBreak/>
              <w:t>ZTE, Sanechips</w:t>
            </w:r>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What is the intention of the second bullet? The Rel-16 coex framework does not say much about the internal signalling.</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not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Huawei, HiSilicon</w:t>
            </w:r>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For co-channel coexistence in Rel-18, devices containing NR sidelink module shall be also able to decode LTE sidelink transmissions by its in-device LTE sidelink module.</w:t>
            </w:r>
          </w:p>
        </w:tc>
      </w:tr>
      <w:tr w:rsidR="00AC2741" w:rsidRPr="00DD3D15" w14:paraId="3730B488" w14:textId="77777777" w:rsidTr="00005252">
        <w:trPr>
          <w:trHeight w:val="158"/>
        </w:trPr>
        <w:tc>
          <w:tcPr>
            <w:tcW w:w="1680" w:type="dxa"/>
          </w:tcPr>
          <w:p w14:paraId="6F421566" w14:textId="6701F4DB" w:rsidR="00AC2741" w:rsidRDefault="00AC2741" w:rsidP="0079418D">
            <w:pPr>
              <w:spacing w:after="0"/>
              <w:rPr>
                <w:sz w:val="22"/>
              </w:rPr>
            </w:pPr>
            <w:r>
              <w:rPr>
                <w:sz w:val="22"/>
              </w:rPr>
              <w:t>MediaTek</w:t>
            </w:r>
          </w:p>
        </w:tc>
        <w:tc>
          <w:tcPr>
            <w:tcW w:w="1735" w:type="dxa"/>
          </w:tcPr>
          <w:p w14:paraId="553BCD69" w14:textId="54A30925" w:rsidR="00AC2741" w:rsidRDefault="00AC2741" w:rsidP="0079418D">
            <w:pPr>
              <w:spacing w:after="0"/>
            </w:pPr>
            <w:r>
              <w:t>Yes</w:t>
            </w:r>
          </w:p>
        </w:tc>
        <w:tc>
          <w:tcPr>
            <w:tcW w:w="6570" w:type="dxa"/>
          </w:tcPr>
          <w:p w14:paraId="72440996" w14:textId="4056BF6B" w:rsidR="00AC2741" w:rsidRPr="00540D39" w:rsidRDefault="00AC2741" w:rsidP="0079418D">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4C4CCD5B" w14:textId="77777777" w:rsidR="00B020D2" w:rsidRDefault="006B1C68">
      <w:pPr>
        <w:rPr>
          <w:rFonts w:eastAsia="MS Mincho"/>
          <w:sz w:val="22"/>
          <w:szCs w:val="24"/>
          <w:lang w:val="en-US"/>
        </w:rPr>
      </w:pPr>
      <w:r>
        <w:rPr>
          <w:rFonts w:eastAsia="MS Mincho"/>
          <w:sz w:val="22"/>
          <w:szCs w:val="24"/>
          <w:lang w:val="en-US"/>
        </w:rPr>
        <w:t>TBD</w:t>
      </w:r>
    </w:p>
    <w:p w14:paraId="396EEA6F" w14:textId="77777777" w:rsidR="00B020D2" w:rsidRDefault="00B020D2">
      <w:pPr>
        <w:rPr>
          <w:rFonts w:eastAsia="MS Mincho"/>
          <w:sz w:val="22"/>
          <w:szCs w:val="24"/>
          <w:lang w:val="en-US"/>
        </w:rPr>
      </w:pPr>
    </w:p>
    <w:p w14:paraId="6F247E03" w14:textId="77777777" w:rsidR="00B020D2" w:rsidRDefault="006B1C68">
      <w:pPr>
        <w:pStyle w:val="Heading2"/>
        <w:ind w:left="540"/>
      </w:pPr>
      <w:r>
        <w:lastRenderedPageBreak/>
        <w:t>[</w:t>
      </w:r>
      <w:r>
        <w:rPr>
          <w:i/>
        </w:rPr>
        <w:t>ACTIVE</w:t>
      </w:r>
      <w:r>
        <w:t>] Issue 1-2: Type B Devices</w:t>
      </w:r>
    </w:p>
    <w:p w14:paraId="66032330" w14:textId="77777777" w:rsidR="00B020D2" w:rsidRDefault="006B1C68">
      <w:pPr>
        <w:pStyle w:val="Heading3"/>
      </w:pPr>
      <w:r>
        <w:t>Summary of Company Views from TDocs</w:t>
      </w:r>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(incl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lastRenderedPageBreak/>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r>
              <w:rPr>
                <w:sz w:val="22"/>
              </w:rPr>
              <w:lastRenderedPageBreak/>
              <w:t>Spreadtrum</w:t>
            </w:r>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lastRenderedPageBreak/>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If device type B is considered in Rel-18 co-channel coex,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2E4BE5F8" w14:textId="77777777" w:rsidR="00B020D2" w:rsidRDefault="006B1C68">
      <w:pPr>
        <w:pStyle w:val="3GPPNormalText"/>
        <w:spacing w:before="120" w:after="0"/>
        <w:rPr>
          <w:b/>
        </w:rPr>
      </w:pPr>
      <w:r>
        <w:rPr>
          <w:b/>
        </w:rPr>
        <w:lastRenderedPageBreak/>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For the first subbullet,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r>
              <w:rPr>
                <w:rFonts w:hint="eastAsia"/>
                <w:sz w:val="22"/>
                <w:lang w:eastAsia="zh-CN"/>
              </w:rPr>
              <w:t>ZTE,Sanechips</w:t>
            </w:r>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Yes (we support support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lastRenderedPageBreak/>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HiSilicon</w:t>
            </w:r>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(i.e.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bl>
    <w:p w14:paraId="22EB9BC0" w14:textId="77777777" w:rsidR="00B020D2" w:rsidRPr="00AA1F82" w:rsidRDefault="00B020D2">
      <w:pPr>
        <w:pStyle w:val="ListParagraph"/>
        <w:ind w:left="0"/>
        <w:jc w:val="both"/>
        <w:rPr>
          <w:rFonts w:ascii="Times New Roman" w:eastAsia="MS Mincho" w:hAnsi="Times New Roman"/>
          <w:b/>
          <w:szCs w:val="24"/>
          <w:lang w:val="en-GB"/>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ZTE, Sanechips</w:t>
            </w:r>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r>
              <w:rPr>
                <w:sz w:val="22"/>
              </w:rPr>
              <w:t>Yes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Huawei, HiSilicon</w:t>
            </w:r>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bl>
    <w:p w14:paraId="57BDAD6A" w14:textId="77777777" w:rsidR="00B020D2" w:rsidRPr="00AA1F82" w:rsidRDefault="00B020D2">
      <w:pPr>
        <w:pStyle w:val="ListParagraph"/>
        <w:ind w:left="0"/>
        <w:jc w:val="both"/>
        <w:rPr>
          <w:rFonts w:ascii="Times New Roman" w:eastAsia="MS Mincho" w:hAnsi="Times New Roman"/>
          <w:b/>
          <w:szCs w:val="24"/>
          <w:lang w:val="en-GB"/>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lastRenderedPageBreak/>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ZTE, Sanechips</w:t>
            </w:r>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lastRenderedPageBreak/>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r>
              <w:rPr>
                <w:sz w:val="22"/>
              </w:rPr>
              <w:t xml:space="preserve">Similar to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Huawei, HiSilicon</w:t>
            </w:r>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A615D1" w:rsidRPr="00DD3D15" w14:paraId="27F8090B" w14:textId="77777777" w:rsidTr="00AA1F82">
        <w:trPr>
          <w:trHeight w:val="158"/>
        </w:trPr>
        <w:tc>
          <w:tcPr>
            <w:tcW w:w="1680" w:type="dxa"/>
          </w:tcPr>
          <w:p w14:paraId="6B0D0244" w14:textId="6A115577" w:rsidR="00A615D1" w:rsidRDefault="00A615D1" w:rsidP="0079418D">
            <w:pPr>
              <w:spacing w:after="0"/>
              <w:rPr>
                <w:sz w:val="22"/>
              </w:rPr>
            </w:pPr>
            <w:r>
              <w:rPr>
                <w:sz w:val="22"/>
              </w:rPr>
              <w:t>MediaTek</w:t>
            </w:r>
          </w:p>
        </w:tc>
        <w:tc>
          <w:tcPr>
            <w:tcW w:w="1735" w:type="dxa"/>
          </w:tcPr>
          <w:p w14:paraId="6D1CED9A" w14:textId="30B90700" w:rsidR="00A615D1" w:rsidRDefault="00A615D1" w:rsidP="0079418D">
            <w:pPr>
              <w:spacing w:after="0"/>
              <w:rPr>
                <w:sz w:val="22"/>
              </w:rPr>
            </w:pPr>
            <w:r>
              <w:rPr>
                <w:sz w:val="22"/>
              </w:rPr>
              <w:t>OK</w:t>
            </w:r>
          </w:p>
        </w:tc>
        <w:tc>
          <w:tcPr>
            <w:tcW w:w="6570" w:type="dxa"/>
          </w:tcPr>
          <w:p w14:paraId="3F16EAA7" w14:textId="77777777" w:rsidR="00A615D1" w:rsidRDefault="00A615D1" w:rsidP="0079418D">
            <w:pPr>
              <w:spacing w:after="0"/>
              <w:rPr>
                <w:rFonts w:eastAsia="MS Mincho"/>
                <w:szCs w:val="24"/>
              </w:rPr>
            </w:pPr>
            <w:r>
              <w:rPr>
                <w:rFonts w:eastAsia="MS Mincho"/>
                <w:szCs w:val="24"/>
              </w:rPr>
              <w:t>On Proposal 1-2a, the FFS can be removed. We can keep the proposal simple and we already mention potential solutions in the next proposals.</w:t>
            </w:r>
          </w:p>
          <w:p w14:paraId="141E4BE6" w14:textId="77777777" w:rsidR="004E6088" w:rsidRDefault="004E6088" w:rsidP="0079418D">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 ”</w:t>
            </w:r>
          </w:p>
          <w:p w14:paraId="09D41360" w14:textId="73E945B8" w:rsidR="004E6088" w:rsidRPr="0051406D" w:rsidRDefault="004E6088" w:rsidP="0079418D">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Heading3"/>
      </w:pPr>
      <w:r>
        <w:t>Summary of 1</w:t>
      </w:r>
      <w:r>
        <w:rPr>
          <w:vertAlign w:val="superscript"/>
        </w:rPr>
        <w:t>st</w:t>
      </w:r>
      <w:r>
        <w:t xml:space="preserve"> Round of Discussions</w:t>
      </w:r>
    </w:p>
    <w:p w14:paraId="35036A19" w14:textId="77777777" w:rsidR="00B020D2" w:rsidRDefault="006B1C68">
      <w:pPr>
        <w:rPr>
          <w:rFonts w:eastAsia="MS Mincho"/>
          <w:sz w:val="22"/>
          <w:szCs w:val="24"/>
          <w:lang w:val="en-US"/>
        </w:rPr>
      </w:pPr>
      <w:r>
        <w:rPr>
          <w:rFonts w:eastAsia="MS Mincho"/>
          <w:sz w:val="22"/>
          <w:szCs w:val="24"/>
          <w:lang w:val="en-US"/>
        </w:rPr>
        <w:t>TBD</w:t>
      </w:r>
    </w:p>
    <w:p w14:paraId="5F0A21E3" w14:textId="77777777" w:rsidR="00B020D2" w:rsidRDefault="00B020D2">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Summary of Company Views from Tdocs</w:t>
      </w:r>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r>
              <w:rPr>
                <w:sz w:val="22"/>
              </w:rPr>
              <w:t>Spreadtrum</w:t>
            </w:r>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r>
              <w:rPr>
                <w:sz w:val="22"/>
              </w:rPr>
              <w:t>Transsion</w:t>
            </w:r>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lastRenderedPageBreak/>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r>
              <w:rPr>
                <w:rFonts w:hint="eastAsia"/>
                <w:sz w:val="22"/>
                <w:lang w:val="en-US" w:eastAsia="zh-CN"/>
              </w:rPr>
              <w:t>Transsion</w:t>
            </w:r>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Huawei, HiSilicon</w:t>
            </w:r>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Thus, we agree with the direction that the supported type A device has to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D6C5C18" w14:textId="77777777" w:rsidR="00AA1F82" w:rsidRPr="0022613E" w:rsidRDefault="00AA1F82" w:rsidP="00AA1F82">
            <w:pPr>
              <w:pStyle w:val="ListParagraph"/>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A1327D" w:rsidRPr="00A1327D" w14:paraId="65A09B15" w14:textId="77777777" w:rsidTr="00AA1F82">
        <w:trPr>
          <w:trHeight w:val="158"/>
        </w:trPr>
        <w:tc>
          <w:tcPr>
            <w:tcW w:w="1680" w:type="dxa"/>
          </w:tcPr>
          <w:p w14:paraId="578318DE" w14:textId="6DFFAFB8" w:rsidR="00A1327D" w:rsidRPr="0022613E" w:rsidRDefault="00A1327D" w:rsidP="0079418D">
            <w:pPr>
              <w:spacing w:after="0"/>
              <w:rPr>
                <w:sz w:val="22"/>
              </w:rPr>
            </w:pPr>
            <w:r>
              <w:rPr>
                <w:sz w:val="22"/>
              </w:rPr>
              <w:t>MediaTek</w:t>
            </w:r>
          </w:p>
        </w:tc>
        <w:tc>
          <w:tcPr>
            <w:tcW w:w="1735" w:type="dxa"/>
          </w:tcPr>
          <w:p w14:paraId="5B5DDDFB" w14:textId="7AD7FB5B" w:rsidR="00A1327D" w:rsidRDefault="00A1327D" w:rsidP="0079418D">
            <w:pPr>
              <w:spacing w:after="0"/>
              <w:rPr>
                <w:sz w:val="22"/>
              </w:rPr>
            </w:pPr>
            <w:r>
              <w:rPr>
                <w:sz w:val="22"/>
              </w:rPr>
              <w:t>Yes</w:t>
            </w:r>
          </w:p>
        </w:tc>
        <w:tc>
          <w:tcPr>
            <w:tcW w:w="6570" w:type="dxa"/>
          </w:tcPr>
          <w:p w14:paraId="3B19BE26" w14:textId="21439BF0" w:rsidR="00A1327D" w:rsidRPr="0022613E" w:rsidRDefault="00A1327D" w:rsidP="0079418D">
            <w:pPr>
              <w:pStyle w:val="3GPPNormalText"/>
              <w:spacing w:after="0"/>
            </w:pPr>
            <w:r>
              <w:t xml:space="preserve">We agree with this proposal. Perhaps, it’s better to remove the whole part in parenthesis (i.e., type-A and/or type-B) for now until issues 1-1 and 1-2 are agreed. </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Heading3"/>
      </w:pPr>
      <w:r>
        <w:lastRenderedPageBreak/>
        <w:t>Summary of 1</w:t>
      </w:r>
      <w:r>
        <w:rPr>
          <w:vertAlign w:val="superscript"/>
        </w:rPr>
        <w:t>st</w:t>
      </w:r>
      <w:r>
        <w:t xml:space="preserve"> Round of Discussions</w:t>
      </w:r>
    </w:p>
    <w:p w14:paraId="48C9489A" w14:textId="77777777" w:rsidR="00B020D2" w:rsidRDefault="006B1C68">
      <w:pPr>
        <w:rPr>
          <w:rFonts w:eastAsia="MS Mincho"/>
          <w:sz w:val="22"/>
          <w:szCs w:val="24"/>
          <w:lang w:val="en-US"/>
        </w:rPr>
      </w:pPr>
      <w:r>
        <w:rPr>
          <w:rFonts w:eastAsia="MS Mincho"/>
          <w:sz w:val="22"/>
          <w:szCs w:val="24"/>
          <w:lang w:val="en-US"/>
        </w:rPr>
        <w:t>TBD</w:t>
      </w:r>
    </w:p>
    <w:p w14:paraId="6CF30F0A" w14:textId="77777777" w:rsidR="00B020D2" w:rsidRDefault="00B020D2">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lastRenderedPageBreak/>
        <w:t xml:space="preserve"> [</w:t>
      </w:r>
      <w:r>
        <w:rPr>
          <w:i/>
        </w:rPr>
        <w:t>ACTIVE</w:t>
      </w:r>
      <w:r>
        <w:t>] Issue 2-1: TDM-based Semi-static Resource Pool Partitioning</w:t>
      </w:r>
    </w:p>
    <w:p w14:paraId="4E3B145C" w14:textId="77777777" w:rsidR="00B020D2" w:rsidRDefault="006B1C68">
      <w:pPr>
        <w:pStyle w:val="Heading3"/>
      </w:pPr>
      <w:r>
        <w:t>Summary of Company Views from Tdocs</w:t>
      </w:r>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Does not cause any AGC issues to the LTE SL Ues since the resource pools are TDMed. [7]</w:t>
      </w:r>
    </w:p>
    <w:p w14:paraId="282F05C7" w14:textId="77777777" w:rsidR="00B020D2" w:rsidRDefault="006B1C6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Huawei, HiSilicon</w:t>
            </w:r>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lastRenderedPageBreak/>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lastRenderedPageBreak/>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r>
              <w:rPr>
                <w:sz w:val="22"/>
              </w:rPr>
              <w:t>Transsion</w:t>
            </w:r>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lastRenderedPageBreak/>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lastRenderedPageBreak/>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lastRenderedPageBreak/>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We are fine with this, but we think that further specification is clearly needed. There is room for improving semi-static resource pool partitioning wrt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Huawei, HiSilicon</w:t>
            </w:r>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A60A57" w:rsidRPr="00DD3D15" w14:paraId="494708D2" w14:textId="77777777" w:rsidTr="00AA1F82">
        <w:trPr>
          <w:trHeight w:val="158"/>
        </w:trPr>
        <w:tc>
          <w:tcPr>
            <w:tcW w:w="1680" w:type="dxa"/>
          </w:tcPr>
          <w:p w14:paraId="2DE1CA06" w14:textId="72EAF432" w:rsidR="00A60A57" w:rsidRPr="00145692" w:rsidRDefault="00A60A57" w:rsidP="0079418D">
            <w:pPr>
              <w:spacing w:after="0"/>
              <w:rPr>
                <w:sz w:val="22"/>
              </w:rPr>
            </w:pPr>
            <w:r>
              <w:rPr>
                <w:sz w:val="22"/>
              </w:rPr>
              <w:t>MediaTek</w:t>
            </w:r>
          </w:p>
        </w:tc>
        <w:tc>
          <w:tcPr>
            <w:tcW w:w="1735" w:type="dxa"/>
          </w:tcPr>
          <w:p w14:paraId="4A100B64" w14:textId="2B71E645" w:rsidR="00A60A57" w:rsidRDefault="00A60A57" w:rsidP="0079418D">
            <w:pPr>
              <w:spacing w:after="0"/>
              <w:rPr>
                <w:sz w:val="22"/>
              </w:rPr>
            </w:pPr>
            <w:r>
              <w:rPr>
                <w:sz w:val="22"/>
              </w:rPr>
              <w:t>Yes</w:t>
            </w:r>
          </w:p>
        </w:tc>
        <w:tc>
          <w:tcPr>
            <w:tcW w:w="6570" w:type="dxa"/>
          </w:tcPr>
          <w:p w14:paraId="6491D28B" w14:textId="77777777" w:rsidR="00A60A57" w:rsidRPr="00DD3D15" w:rsidRDefault="00A60A57" w:rsidP="0079418D">
            <w:pPr>
              <w:spacing w:after="0"/>
              <w:rPr>
                <w:sz w:val="22"/>
              </w:rPr>
            </w:pPr>
          </w:p>
        </w:tc>
      </w:tr>
    </w:tbl>
    <w:p w14:paraId="31BAA65C" w14:textId="7E920657" w:rsidR="00B020D2" w:rsidRDefault="00B020D2">
      <w:pPr>
        <w:pStyle w:val="3GPPNormalText"/>
        <w:spacing w:before="240" w:after="0"/>
        <w:rPr>
          <w:b/>
        </w:rPr>
      </w:pPr>
    </w:p>
    <w:p w14:paraId="608CF17C" w14:textId="77777777" w:rsidR="00B020D2" w:rsidRDefault="006B1C68">
      <w:pPr>
        <w:pStyle w:val="Heading3"/>
      </w:pPr>
      <w:r>
        <w:t>Summary of 1</w:t>
      </w:r>
      <w:r>
        <w:rPr>
          <w:vertAlign w:val="superscript"/>
        </w:rPr>
        <w:t>st</w:t>
      </w:r>
      <w:r>
        <w:t xml:space="preserve"> Round of Discussions</w:t>
      </w:r>
    </w:p>
    <w:p w14:paraId="1A191703" w14:textId="77777777" w:rsidR="00B020D2" w:rsidRDefault="006B1C68">
      <w:pPr>
        <w:rPr>
          <w:rFonts w:eastAsia="MS Mincho"/>
          <w:sz w:val="22"/>
          <w:szCs w:val="24"/>
          <w:lang w:val="en-US"/>
        </w:rPr>
      </w:pPr>
      <w:r>
        <w:rPr>
          <w:rFonts w:eastAsia="MS Mincho"/>
          <w:sz w:val="22"/>
          <w:szCs w:val="24"/>
          <w:lang w:val="en-US"/>
        </w:rPr>
        <w:t>TBD</w:t>
      </w:r>
    </w:p>
    <w:p w14:paraId="4F949652" w14:textId="77777777" w:rsidR="00B020D2" w:rsidRDefault="00B020D2">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Summary of Company Views from Tdocs</w:t>
      </w:r>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lastRenderedPageBreak/>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Configuration of different SCSs for the NR SL resource pool other than the 15 kHz SCS used for the LTE SL resource pool, would cause AGC setting issues for the LTE SL Ues.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The presence of PSFCH in the NR SL resource pools would cause AGC setting issues for the LTE SL Ues.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Rel-18 NR SL Ues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lastRenderedPageBreak/>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r>
              <w:rPr>
                <w:sz w:val="22"/>
              </w:rPr>
              <w:t>Spreadtrum</w:t>
            </w:r>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lastRenderedPageBreak/>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r>
              <w:rPr>
                <w:sz w:val="22"/>
              </w:rPr>
              <w:t>Transsion</w:t>
            </w:r>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lastRenderedPageBreak/>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lastRenderedPageBreak/>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 xml:space="preserve">We are of the opinion that the FDM based semi-static partitioning is not a good choice for NR SL and LTE SL cochannel coexistence. FDM based </w:t>
            </w:r>
            <w:r>
              <w:rPr>
                <w:sz w:val="22"/>
                <w:szCs w:val="22"/>
              </w:rPr>
              <w:lastRenderedPageBreak/>
              <w:t>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r>
              <w:rPr>
                <w:rFonts w:hint="eastAsia"/>
                <w:sz w:val="22"/>
                <w:lang w:val="en-US" w:eastAsia="zh-CN"/>
              </w:rPr>
              <w:t>Transsion</w:t>
            </w:r>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lastRenderedPageBreak/>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lastRenderedPageBreak/>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Huawei, HiSilicon</w:t>
            </w:r>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We prefer not to support FDMed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t xml:space="preserve">Therefore, considering the difficulties on the usage of FDMed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SimSun"/>
                <w:b/>
                <w:color w:val="FF0000"/>
                <w:sz w:val="22"/>
                <w:szCs w:val="22"/>
              </w:rPr>
              <w:t>is not supported.</w:t>
            </w:r>
          </w:p>
        </w:tc>
      </w:tr>
      <w:tr w:rsidR="00451F43" w:rsidRPr="00EC7042" w14:paraId="282CC7F7" w14:textId="77777777" w:rsidTr="00AA1F82">
        <w:trPr>
          <w:trHeight w:val="158"/>
        </w:trPr>
        <w:tc>
          <w:tcPr>
            <w:tcW w:w="1680" w:type="dxa"/>
          </w:tcPr>
          <w:p w14:paraId="740664E1" w14:textId="4A6716BE" w:rsidR="00451F43" w:rsidRPr="00EC7042" w:rsidRDefault="00451F43" w:rsidP="0079418D">
            <w:pPr>
              <w:spacing w:after="0"/>
              <w:rPr>
                <w:sz w:val="22"/>
                <w:szCs w:val="22"/>
              </w:rPr>
            </w:pPr>
            <w:r>
              <w:rPr>
                <w:sz w:val="22"/>
                <w:szCs w:val="22"/>
              </w:rPr>
              <w:t>MediaTek</w:t>
            </w:r>
          </w:p>
        </w:tc>
        <w:tc>
          <w:tcPr>
            <w:tcW w:w="1735" w:type="dxa"/>
          </w:tcPr>
          <w:p w14:paraId="3459025A" w14:textId="3AA2CDAB" w:rsidR="00451F43" w:rsidRPr="00EC7042" w:rsidRDefault="00451F43" w:rsidP="0079418D">
            <w:pPr>
              <w:spacing w:after="0"/>
              <w:rPr>
                <w:sz w:val="22"/>
                <w:szCs w:val="22"/>
              </w:rPr>
            </w:pPr>
            <w:r>
              <w:rPr>
                <w:sz w:val="22"/>
                <w:szCs w:val="22"/>
              </w:rPr>
              <w:t>No (please see comment)</w:t>
            </w:r>
          </w:p>
        </w:tc>
        <w:tc>
          <w:tcPr>
            <w:tcW w:w="6570" w:type="dxa"/>
          </w:tcPr>
          <w:p w14:paraId="55BBFEDA" w14:textId="752E6A15" w:rsidR="00451F43" w:rsidRPr="00EC7042" w:rsidRDefault="00451F43" w:rsidP="0079418D">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22417D25" w14:textId="77777777" w:rsidR="00B020D2" w:rsidRDefault="006B1C68">
      <w:pPr>
        <w:pStyle w:val="Heading3"/>
      </w:pPr>
      <w:r>
        <w:t>Summary of 1</w:t>
      </w:r>
      <w:r>
        <w:rPr>
          <w:vertAlign w:val="superscript"/>
        </w:rPr>
        <w:t>st</w:t>
      </w:r>
      <w:r>
        <w:t xml:space="preserve"> Round of Discussions</w:t>
      </w:r>
    </w:p>
    <w:p w14:paraId="456AA658" w14:textId="77777777" w:rsidR="00B020D2" w:rsidRDefault="006B1C68">
      <w:pPr>
        <w:rPr>
          <w:rFonts w:eastAsia="MS Mincho"/>
          <w:sz w:val="22"/>
          <w:szCs w:val="24"/>
          <w:lang w:val="en-US"/>
        </w:rPr>
      </w:pPr>
      <w:r>
        <w:rPr>
          <w:rFonts w:eastAsia="MS Mincho"/>
          <w:sz w:val="22"/>
          <w:szCs w:val="24"/>
          <w:lang w:val="en-US"/>
        </w:rPr>
        <w:t>TBD</w:t>
      </w:r>
    </w:p>
    <w:p w14:paraId="277C56C3" w14:textId="77777777" w:rsidR="00B020D2" w:rsidRDefault="00B020D2">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Summary of Company Views on SCS from Tdocs</w:t>
      </w:r>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lastRenderedPageBreak/>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Ues should occupy all symbols within a 15 kHz subframe. [1], [7], [13], </w:t>
      </w:r>
    </w:p>
    <w:p w14:paraId="0C17EE19" w14:textId="77777777" w:rsidR="00B020D2" w:rsidRDefault="006B1C68">
      <w:pPr>
        <w:pStyle w:val="3GPPNormalText"/>
        <w:numPr>
          <w:ilvl w:val="0"/>
          <w:numId w:val="12"/>
        </w:numPr>
        <w:spacing w:after="0"/>
        <w:ind w:left="360"/>
      </w:pPr>
      <w:r>
        <w:t>NR SL Ues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LTE SL Ues will not use time slots where NR SL Ues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lastRenderedPageBreak/>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Sanechips</w:t>
            </w:r>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lastRenderedPageBreak/>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lastRenderedPageBreak/>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lastRenderedPageBreak/>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FDMed situations): </w:t>
            </w:r>
          </w:p>
          <w:p w14:paraId="46A6C17D" w14:textId="77777777"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Proposal 4: RAN1 to study and clearly identify the pros, cons, and tradeoffs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Tdocs </w:t>
      </w:r>
    </w:p>
    <w:p w14:paraId="4C56A5AA" w14:textId="77777777" w:rsidR="00B020D2" w:rsidRDefault="006B1C68">
      <w:pPr>
        <w:pStyle w:val="3GPPNormalText"/>
      </w:pPr>
      <w:r>
        <w:t>Another concern expressed by companies regarding DRPS is the presence of PSFCH in the NR SL resource pools causing AGC setting issues for the LTE SL Ues.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lastRenderedPageBreak/>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r>
              <w:rPr>
                <w:sz w:val="22"/>
              </w:rPr>
              <w:t>Spreadtrum</w:t>
            </w:r>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lastRenderedPageBreak/>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lastRenderedPageBreak/>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FDMed situations): </w:t>
            </w:r>
          </w:p>
          <w:p w14:paraId="3B335C4A" w14:textId="77777777"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lastRenderedPageBreak/>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Proposal 4: RAN1 to study and clearly identify the pros, cons, and tradeoffs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lastRenderedPageBreak/>
              <w:t>ZTE, Sanechips</w:t>
            </w:r>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r>
              <w:rPr>
                <w:rFonts w:hint="eastAsia"/>
                <w:sz w:val="22"/>
                <w:lang w:val="en-US" w:eastAsia="zh-CN"/>
              </w:rPr>
              <w:t>Transsion</w:t>
            </w:r>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Yes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Huawei, HiSilicon</w:t>
            </w:r>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lastRenderedPageBreak/>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eastAsia="zh-CN"/>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D308E0" w:rsidRPr="00DD3D15" w14:paraId="1FDD4EC7" w14:textId="77777777" w:rsidTr="00AA1F82">
        <w:trPr>
          <w:trHeight w:val="158"/>
        </w:trPr>
        <w:tc>
          <w:tcPr>
            <w:tcW w:w="1680" w:type="dxa"/>
          </w:tcPr>
          <w:p w14:paraId="10677B1E" w14:textId="3E4687DB" w:rsidR="00D308E0" w:rsidRPr="006A607D" w:rsidRDefault="00D308E0" w:rsidP="0079418D">
            <w:pPr>
              <w:spacing w:after="0"/>
              <w:rPr>
                <w:sz w:val="22"/>
              </w:rPr>
            </w:pPr>
            <w:r>
              <w:rPr>
                <w:sz w:val="22"/>
              </w:rPr>
              <w:lastRenderedPageBreak/>
              <w:t>MediaTek</w:t>
            </w:r>
          </w:p>
        </w:tc>
        <w:tc>
          <w:tcPr>
            <w:tcW w:w="1735" w:type="dxa"/>
          </w:tcPr>
          <w:p w14:paraId="6CEAE32C" w14:textId="6B01A65F" w:rsidR="00D308E0" w:rsidRDefault="00D308E0" w:rsidP="0079418D">
            <w:pPr>
              <w:spacing w:after="0"/>
              <w:rPr>
                <w:sz w:val="22"/>
              </w:rPr>
            </w:pPr>
            <w:r>
              <w:rPr>
                <w:sz w:val="22"/>
              </w:rPr>
              <w:t>Comment</w:t>
            </w:r>
          </w:p>
        </w:tc>
        <w:tc>
          <w:tcPr>
            <w:tcW w:w="6570" w:type="dxa"/>
          </w:tcPr>
          <w:p w14:paraId="0A19EE72" w14:textId="14B73964" w:rsidR="00DA1152" w:rsidRDefault="00D308E0" w:rsidP="0079418D">
            <w:pPr>
              <w:spacing w:after="0"/>
              <w:rPr>
                <w:sz w:val="22"/>
              </w:rPr>
            </w:pPr>
            <w:r>
              <w:rPr>
                <w:sz w:val="22"/>
              </w:rPr>
              <w:t xml:space="preserve">It’s too restrictive to limit NR SL to 15 KHz. As commented by Huawei, 30 KHz is mandatory SCS in R16 </w:t>
            </w:r>
            <w:r w:rsidR="007F4357">
              <w:rPr>
                <w:sz w:val="22"/>
              </w:rPr>
              <w:t xml:space="preserve">NR </w:t>
            </w:r>
            <w:r>
              <w:rPr>
                <w:sz w:val="22"/>
              </w:rPr>
              <w:t xml:space="preserve">V2X. </w:t>
            </w:r>
            <w:r w:rsidR="00DA1152">
              <w:rPr>
                <w:sz w:val="22"/>
              </w:rPr>
              <w:t xml:space="preserve">We are OK with the suggested version of the proposal by Huawei. </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55AD8813" w14:textId="77777777" w:rsidR="00B020D2" w:rsidRDefault="006B1C68">
      <w:pPr>
        <w:rPr>
          <w:rFonts w:eastAsia="MS Mincho"/>
          <w:sz w:val="22"/>
          <w:szCs w:val="24"/>
          <w:lang w:val="en-US"/>
        </w:rPr>
      </w:pPr>
      <w:r>
        <w:rPr>
          <w:rFonts w:eastAsia="MS Mincho"/>
          <w:sz w:val="22"/>
          <w:szCs w:val="24"/>
          <w:lang w:val="en-US"/>
        </w:rPr>
        <w:t>TBD</w:t>
      </w:r>
    </w:p>
    <w:p w14:paraId="7D4A2C45" w14:textId="77777777" w:rsidR="00B020D2" w:rsidRDefault="00B020D2">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Summary of Company Views from TDocs</w:t>
      </w:r>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r>
              <w:rPr>
                <w:sz w:val="22"/>
              </w:rPr>
              <w:lastRenderedPageBreak/>
              <w:t>Spreadtrum</w:t>
            </w:r>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Observation 6: The DMRS pattern in LTE is different from NR, thus, LTE SL UE can not maintain the accurate RSRP when detecting the resources reserved by NR modules/Ues.</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lastRenderedPageBreak/>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lastRenderedPageBreak/>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lastRenderedPageBreak/>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7912099" w14:textId="77777777" w:rsidR="00B020D2" w:rsidRDefault="006B1C68">
            <w:pPr>
              <w:spacing w:before="0" w:after="0"/>
              <w:rPr>
                <w:sz w:val="22"/>
              </w:rPr>
            </w:pPr>
            <w:r>
              <w:rPr>
                <w:sz w:val="22"/>
              </w:rPr>
              <w:t>Proposal 11: For in-coverage Ues, they can use gNB to relay the sensing information via UL and then DL to targeted Ues.</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lastRenderedPageBreak/>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lastRenderedPageBreak/>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lastRenderedPageBreak/>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lastRenderedPageBreak/>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lastRenderedPageBreak/>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Details of exclusion behavior</w:t>
            </w:r>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Proposal 4: RAN1 to study and clearly identify the pros, cons, and tradeoffs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r>
              <w:rPr>
                <w:rFonts w:hint="eastAsia"/>
                <w:sz w:val="22"/>
                <w:lang w:eastAsia="zh-CN"/>
              </w:rPr>
              <w:t>Spreadtrum</w:t>
            </w:r>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t>Ericsson</w:t>
            </w:r>
          </w:p>
        </w:tc>
        <w:tc>
          <w:tcPr>
            <w:tcW w:w="1735" w:type="dxa"/>
          </w:tcPr>
          <w:p w14:paraId="2B497027" w14:textId="55EF3E5A" w:rsidR="00447003" w:rsidRPr="00F6034D" w:rsidRDefault="00447003" w:rsidP="00447003">
            <w:pPr>
              <w:spacing w:after="0"/>
              <w:rPr>
                <w:sz w:val="22"/>
                <w:lang w:val="en-US" w:eastAsia="zh-CN"/>
              </w:rPr>
            </w:pPr>
            <w:r>
              <w:rPr>
                <w:sz w:val="22"/>
              </w:rPr>
              <w:t xml:space="preserve">OK in general, but we think that it is necessary to </w:t>
            </w:r>
            <w:r>
              <w:rPr>
                <w:sz w:val="22"/>
              </w:rPr>
              <w:lastRenderedPageBreak/>
              <w:t>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lastRenderedPageBreak/>
              <w:t xml:space="preserve">As Toyota said, the LTE module operates independently from the NR module. It is relevant to consider the aspects mentioned in their second comment. In our view, one of the few things we can do is to help the LTE </w:t>
            </w:r>
            <w:r>
              <w:rPr>
                <w:bCs/>
              </w:rPr>
              <w:lastRenderedPageBreak/>
              <w:t>sensing procedure to ensure a fair coexistence. For example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Huawei, HiSilicon</w:t>
            </w:r>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bl>
    <w:p w14:paraId="64E398EA" w14:textId="77777777" w:rsidR="00B020D2" w:rsidRPr="0079418D" w:rsidRDefault="00B020D2">
      <w:pPr>
        <w:pStyle w:val="ListParagraph"/>
        <w:ind w:left="0"/>
        <w:jc w:val="both"/>
        <w:rPr>
          <w:rFonts w:ascii="Times New Roman" w:eastAsia="MS Mincho" w:hAnsi="Times New Roman"/>
          <w:b/>
          <w:szCs w:val="24"/>
          <w:lang w:val="en-GB"/>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lastRenderedPageBreak/>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w:t>
            </w:r>
            <w:r>
              <w:rPr>
                <w:sz w:val="22"/>
              </w:rPr>
              <w:lastRenderedPageBreak/>
              <w:t xml:space="preserve">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r>
              <w:rPr>
                <w:rFonts w:hint="eastAsia"/>
                <w:sz w:val="22"/>
                <w:lang w:val="en-US" w:eastAsia="zh-CN"/>
              </w:rPr>
              <w:lastRenderedPageBreak/>
              <w:t>ZTE,Sanechips</w:t>
            </w:r>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r>
              <w:rPr>
                <w:rFonts w:hint="eastAsia"/>
                <w:sz w:val="22"/>
                <w:lang w:val="en-US" w:eastAsia="zh-CN"/>
              </w:rPr>
              <w:t>Transsion</w:t>
            </w:r>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Huawei, HiSilicon</w:t>
            </w:r>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ListParagraph"/>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lastRenderedPageBreak/>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ListParagraph"/>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ListParagraph"/>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r>
              <w:rPr>
                <w:rFonts w:hint="eastAsia"/>
                <w:sz w:val="22"/>
                <w:lang w:val="en-US" w:eastAsia="zh-CN"/>
              </w:rPr>
              <w:lastRenderedPageBreak/>
              <w:t>ZTE,Sanechips</w:t>
            </w:r>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r>
              <w:rPr>
                <w:rFonts w:hint="eastAsia"/>
                <w:sz w:val="22"/>
                <w:lang w:val="en-US" w:eastAsia="zh-CN"/>
              </w:rPr>
              <w:t>Transsion</w:t>
            </w:r>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2C2B3B">
            <w:pPr>
              <w:spacing w:before="0" w:after="0"/>
              <w:rPr>
                <w:sz w:val="22"/>
              </w:rPr>
            </w:pPr>
            <w:r w:rsidRPr="006A607D">
              <w:rPr>
                <w:sz w:val="22"/>
              </w:rPr>
              <w:lastRenderedPageBreak/>
              <w:t>Huawei, HiSilicon</w:t>
            </w:r>
          </w:p>
        </w:tc>
        <w:tc>
          <w:tcPr>
            <w:tcW w:w="1735" w:type="dxa"/>
          </w:tcPr>
          <w:p w14:paraId="59F696F4" w14:textId="77777777" w:rsidR="00497C3D" w:rsidRPr="00DD3D15" w:rsidRDefault="00497C3D" w:rsidP="002C2B3B">
            <w:pPr>
              <w:spacing w:before="0" w:after="0"/>
              <w:rPr>
                <w:sz w:val="22"/>
              </w:rPr>
            </w:pPr>
            <w:r>
              <w:rPr>
                <w:sz w:val="22"/>
              </w:rPr>
              <w:t>No</w:t>
            </w:r>
          </w:p>
        </w:tc>
        <w:tc>
          <w:tcPr>
            <w:tcW w:w="6570" w:type="dxa"/>
          </w:tcPr>
          <w:p w14:paraId="6409E7A7" w14:textId="77777777" w:rsidR="00497C3D" w:rsidRDefault="00497C3D" w:rsidP="002C2B3B">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2C2B3B">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imity for assistance;</w:t>
            </w:r>
          </w:p>
          <w:p w14:paraId="4FFD57A6" w14:textId="77777777" w:rsidR="00497C3D" w:rsidRPr="00AF6BFD" w:rsidRDefault="00497C3D" w:rsidP="002C2B3B">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devices, and will also complicate specification work.</w:t>
            </w:r>
          </w:p>
          <w:p w14:paraId="45186BEC" w14:textId="77777777" w:rsidR="00497C3D" w:rsidRPr="00AF6BFD" w:rsidRDefault="00497C3D" w:rsidP="002C2B3B">
            <w:pPr>
              <w:pStyle w:val="3GPPNormalText"/>
              <w:spacing w:after="0"/>
            </w:pPr>
            <w:r w:rsidRPr="00AF6BFD">
              <w:t>Thus, we suggest the following conclusion:</w:t>
            </w:r>
          </w:p>
          <w:p w14:paraId="54F116CC" w14:textId="77777777" w:rsidR="00497C3D" w:rsidRPr="00C57F14" w:rsidRDefault="00497C3D" w:rsidP="002C2B3B">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ListParagraph"/>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2C2B3B">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Heading3"/>
      </w:pPr>
      <w:r>
        <w:t>Summary of 1</w:t>
      </w:r>
      <w:r>
        <w:rPr>
          <w:vertAlign w:val="superscript"/>
        </w:rPr>
        <w:t>st</w:t>
      </w:r>
      <w:r>
        <w:t xml:space="preserve"> Round of Discussions</w:t>
      </w:r>
    </w:p>
    <w:p w14:paraId="14E21711" w14:textId="77777777" w:rsidR="00B020D2" w:rsidRDefault="006B1C68">
      <w:pPr>
        <w:rPr>
          <w:rFonts w:eastAsia="MS Mincho"/>
          <w:sz w:val="22"/>
          <w:szCs w:val="24"/>
          <w:lang w:val="en-US"/>
        </w:rPr>
      </w:pPr>
      <w:r>
        <w:rPr>
          <w:rFonts w:eastAsia="MS Mincho"/>
          <w:sz w:val="22"/>
          <w:szCs w:val="24"/>
          <w:lang w:val="en-US"/>
        </w:rPr>
        <w:t>TBD</w:t>
      </w:r>
    </w:p>
    <w:p w14:paraId="409B9C26" w14:textId="77777777" w:rsidR="00B020D2" w:rsidRDefault="00B020D2">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Company Views from TDocs</w:t>
      </w:r>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lastRenderedPageBreak/>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lastRenderedPageBreak/>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Company Views from TDocs</w:t>
      </w:r>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r>
              <w:rPr>
                <w:sz w:val="22"/>
              </w:rPr>
              <w:t>Spreadtrum</w:t>
            </w:r>
          </w:p>
        </w:tc>
        <w:tc>
          <w:tcPr>
            <w:tcW w:w="8148" w:type="dxa"/>
          </w:tcPr>
          <w:p w14:paraId="7A6A9249" w14:textId="77777777" w:rsidR="00B020D2" w:rsidRDefault="006B1C68">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lastRenderedPageBreak/>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lastRenderedPageBreak/>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Summary of Company Views from TDocs</w:t>
      </w:r>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lastRenderedPageBreak/>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lastRenderedPageBreak/>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r>
              <w:rPr>
                <w:sz w:val="22"/>
              </w:rPr>
              <w:t>Transsion</w:t>
            </w:r>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lastRenderedPageBreak/>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lastRenderedPageBreak/>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For Combination B, information report to gNB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lastRenderedPageBreak/>
        <w:t>Summary of 1</w:t>
      </w:r>
      <w:r>
        <w:rPr>
          <w:vertAlign w:val="superscript"/>
        </w:rPr>
        <w:t>st</w:t>
      </w:r>
      <w:r>
        <w:t xml:space="preserve"> Round of Discussions</w:t>
      </w:r>
    </w:p>
    <w:p w14:paraId="020AB4EB" w14:textId="77777777" w:rsidR="00B020D2" w:rsidRDefault="006B1C68">
      <w:pPr>
        <w:rPr>
          <w:rFonts w:eastAsia="MS Mincho"/>
          <w:sz w:val="22"/>
          <w:szCs w:val="24"/>
          <w:lang w:val="en-US"/>
        </w:rPr>
      </w:pPr>
      <w:r>
        <w:rPr>
          <w:rFonts w:eastAsia="MS Mincho"/>
          <w:sz w:val="22"/>
          <w:szCs w:val="24"/>
          <w:lang w:val="en-US"/>
        </w:rPr>
        <w:t>TBD</w:t>
      </w:r>
    </w:p>
    <w:p w14:paraId="6FCB41F5" w14:textId="77777777" w:rsidR="00B020D2" w:rsidRDefault="00B020D2">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Summary of Company Views from TDocs</w:t>
      </w:r>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lastRenderedPageBreak/>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lastRenderedPageBreak/>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Proposal 4: RAN1 to study and clearly identify the pros, cons, and tradeoffs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r>
              <w:rPr>
                <w:rFonts w:hint="eastAsia"/>
                <w:sz w:val="22"/>
                <w:lang w:val="en-US" w:eastAsia="zh-CN"/>
              </w:rPr>
              <w:t>Transsion</w:t>
            </w:r>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0F6A67A" w14:textId="77777777" w:rsidR="00B020D2" w:rsidRDefault="006B1C68">
      <w:pPr>
        <w:rPr>
          <w:rFonts w:eastAsia="MS Mincho"/>
          <w:sz w:val="22"/>
          <w:szCs w:val="24"/>
          <w:lang w:val="en-US"/>
        </w:rPr>
      </w:pPr>
      <w:r>
        <w:rPr>
          <w:rFonts w:eastAsia="MS Mincho"/>
          <w:sz w:val="22"/>
          <w:szCs w:val="24"/>
          <w:lang w:val="en-US"/>
        </w:rPr>
        <w:t>TBD</w:t>
      </w:r>
    </w:p>
    <w:p w14:paraId="415D7B8C" w14:textId="77777777" w:rsidR="00B020D2" w:rsidRDefault="00B020D2">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Company Views from TDocs</w:t>
      </w:r>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 xml:space="preserve">Proposal 1: RAN1 needs to firstly identify scenario(s) to be mainly considered for the co-channel coexistence between LTE SL and NR SL, e.g., at least the scenario that NR SL </w:t>
            </w:r>
            <w:r>
              <w:rPr>
                <w:sz w:val="22"/>
              </w:rPr>
              <w:lastRenderedPageBreak/>
              <w:t>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lastRenderedPageBreak/>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w:t>
      </w:r>
      <w:r>
        <w:rPr>
          <w:rFonts w:ascii="Times New Roman" w:hAnsi="Times New Roman"/>
          <w:lang w:eastAsia="ko-KR"/>
        </w:rPr>
        <w:lastRenderedPageBreak/>
        <w:t>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r>
              <w:rPr>
                <w:rFonts w:hint="eastAsia"/>
                <w:sz w:val="22"/>
                <w:lang w:eastAsia="zh-CN"/>
              </w:rPr>
              <w:t>S</w:t>
            </w:r>
            <w:r>
              <w:rPr>
                <w:sz w:val="22"/>
                <w:lang w:eastAsia="zh-CN"/>
              </w:rPr>
              <w:t>iqi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000000">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r>
              <w:rPr>
                <w:rFonts w:hint="eastAsia"/>
                <w:sz w:val="22"/>
                <w:lang w:eastAsia="zh-CN"/>
              </w:rPr>
              <w:t>ZTE,Sanechips</w:t>
            </w:r>
          </w:p>
        </w:tc>
        <w:tc>
          <w:tcPr>
            <w:tcW w:w="3235" w:type="dxa"/>
          </w:tcPr>
          <w:p w14:paraId="758C23CA" w14:textId="77777777" w:rsidR="00B020D2" w:rsidRDefault="006B1C68">
            <w:pPr>
              <w:spacing w:before="0" w:after="0"/>
              <w:rPr>
                <w:sz w:val="22"/>
                <w:lang w:eastAsia="zh-CN"/>
              </w:rPr>
            </w:pPr>
            <w:r>
              <w:rPr>
                <w:rFonts w:hint="eastAsia"/>
                <w:sz w:val="22"/>
                <w:lang w:eastAsia="zh-CN"/>
              </w:rPr>
              <w:t>Yuzhou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r>
              <w:rPr>
                <w:rFonts w:hint="eastAsia"/>
                <w:sz w:val="22"/>
                <w:lang w:val="en-US" w:eastAsia="zh-CN"/>
              </w:rPr>
              <w:t>Transsion</w:t>
            </w:r>
          </w:p>
        </w:tc>
        <w:tc>
          <w:tcPr>
            <w:tcW w:w="3235" w:type="dxa"/>
          </w:tcPr>
          <w:p w14:paraId="32D7D197" w14:textId="77777777" w:rsidR="00B020D2" w:rsidRDefault="006B1C68">
            <w:pPr>
              <w:spacing w:before="0" w:after="0"/>
              <w:rPr>
                <w:sz w:val="22"/>
                <w:lang w:eastAsia="zh-CN"/>
              </w:rPr>
            </w:pPr>
            <w:r>
              <w:rPr>
                <w:rFonts w:hint="eastAsia"/>
                <w:sz w:val="22"/>
                <w:lang w:val="en-US" w:eastAsia="zh-CN"/>
              </w:rPr>
              <w:t>Xingya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lastRenderedPageBreak/>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30B19536" w14:textId="77777777"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r>
              <w:rPr>
                <w:rFonts w:hint="eastAsia"/>
                <w:sz w:val="22"/>
                <w:lang w:eastAsia="zh-CN"/>
              </w:rPr>
              <w:t>Luochao</w:t>
            </w:r>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r>
              <w:rPr>
                <w:rFonts w:ascii="Calibri" w:hAnsi="Calibri" w:cs="Calibri"/>
                <w:sz w:val="22"/>
              </w:rPr>
              <w:t>name.surname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r>
              <w:rPr>
                <w:sz w:val="22"/>
              </w:rPr>
              <w:t>c.ciochina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r>
              <w:rPr>
                <w:sz w:val="22"/>
              </w:rPr>
              <w:t>ShupengLi</w:t>
            </w:r>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r>
              <w:rPr>
                <w:rFonts w:hint="eastAsia"/>
                <w:sz w:val="22"/>
              </w:rPr>
              <w:t>Seun</w:t>
            </w:r>
            <w:r>
              <w:rPr>
                <w:sz w:val="22"/>
              </w:rPr>
              <w:t>gmin Lee</w:t>
            </w:r>
          </w:p>
          <w:p w14:paraId="382BFA5D" w14:textId="77777777" w:rsidR="00B020D2" w:rsidRDefault="006B1C68">
            <w:pPr>
              <w:spacing w:before="0" w:after="0" w:line="240" w:lineRule="auto"/>
              <w:rPr>
                <w:sz w:val="22"/>
              </w:rPr>
            </w:pPr>
            <w:r>
              <w:rPr>
                <w:sz w:val="22"/>
              </w:rPr>
              <w:t>Daesung Hwang</w:t>
            </w:r>
          </w:p>
        </w:tc>
        <w:tc>
          <w:tcPr>
            <w:tcW w:w="4770" w:type="dxa"/>
          </w:tcPr>
          <w:p w14:paraId="0A309110" w14:textId="77777777" w:rsidR="00B020D2" w:rsidRDefault="00000000">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r>
              <w:rPr>
                <w:sz w:val="22"/>
              </w:rPr>
              <w:t>Pengyu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0C95" w14:textId="77777777" w:rsidR="0022005F" w:rsidRDefault="0022005F">
      <w:pPr>
        <w:spacing w:after="0" w:line="240" w:lineRule="auto"/>
      </w:pPr>
      <w:r>
        <w:separator/>
      </w:r>
    </w:p>
  </w:endnote>
  <w:endnote w:type="continuationSeparator" w:id="0">
    <w:p w14:paraId="656673FA" w14:textId="77777777" w:rsidR="0022005F" w:rsidRDefault="0022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79418D" w:rsidRDefault="0079418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79418D" w:rsidRDefault="0079418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13A633CD" w:rsidR="0079418D" w:rsidRDefault="0079418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68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68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C767" w14:textId="77777777" w:rsidR="0022005F" w:rsidRDefault="0022005F">
      <w:pPr>
        <w:spacing w:after="0" w:line="240" w:lineRule="auto"/>
      </w:pPr>
      <w:r>
        <w:separator/>
      </w:r>
    </w:p>
  </w:footnote>
  <w:footnote w:type="continuationSeparator" w:id="0">
    <w:p w14:paraId="6D1C7EC7" w14:textId="77777777" w:rsidR="0022005F" w:rsidRDefault="00220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79418D" w:rsidRDefault="007941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687870713">
    <w:abstractNumId w:val="3"/>
  </w:num>
  <w:num w:numId="2" w16cid:durableId="242640156">
    <w:abstractNumId w:val="9"/>
  </w:num>
  <w:num w:numId="3" w16cid:durableId="1403868918">
    <w:abstractNumId w:val="6"/>
  </w:num>
  <w:num w:numId="4" w16cid:durableId="944926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6677478">
    <w:abstractNumId w:val="16"/>
  </w:num>
  <w:num w:numId="6" w16cid:durableId="265309768">
    <w:abstractNumId w:val="8"/>
  </w:num>
  <w:num w:numId="7" w16cid:durableId="1547789398">
    <w:abstractNumId w:val="0"/>
  </w:num>
  <w:num w:numId="8" w16cid:durableId="1378503746">
    <w:abstractNumId w:val="15"/>
  </w:num>
  <w:num w:numId="9" w16cid:durableId="913395377">
    <w:abstractNumId w:val="12"/>
  </w:num>
  <w:num w:numId="10" w16cid:durableId="527331021">
    <w:abstractNumId w:val="7"/>
  </w:num>
  <w:num w:numId="11" w16cid:durableId="357703322">
    <w:abstractNumId w:val="1"/>
  </w:num>
  <w:num w:numId="12" w16cid:durableId="213733910">
    <w:abstractNumId w:val="14"/>
  </w:num>
  <w:num w:numId="13" w16cid:durableId="467431083">
    <w:abstractNumId w:val="11"/>
  </w:num>
  <w:num w:numId="14" w16cid:durableId="1715306297">
    <w:abstractNumId w:val="2"/>
  </w:num>
  <w:num w:numId="15" w16cid:durableId="356276967">
    <w:abstractNumId w:val="5"/>
  </w:num>
  <w:num w:numId="16" w16cid:durableId="688065497">
    <w:abstractNumId w:val="13"/>
  </w:num>
  <w:num w:numId="17" w16cid:durableId="857501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05F"/>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81"/>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1F43"/>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088"/>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5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27D"/>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A57"/>
    <w:rsid w:val="00A60D36"/>
    <w:rsid w:val="00A61438"/>
    <w:rsid w:val="00A615D1"/>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741"/>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8E0"/>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152"/>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CF4F74-26D4-42F4-BE07-9EA57CB6ADEB}">
  <ds:schemaRefs>
    <ds:schemaRef ds:uri="http://schemas.openxmlformats.org/officeDocument/2006/bibliography"/>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4C357BFB-CCD7-4243-B1B0-1CF7115F125C}">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71</Pages>
  <Words>25773</Words>
  <Characters>146909</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172338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Umut Ugurlu</cp:lastModifiedBy>
  <cp:revision>17</cp:revision>
  <cp:lastPrinted>2022-01-05T12:49:00Z</cp:lastPrinted>
  <dcterms:created xsi:type="dcterms:W3CDTF">2022-08-23T08:35:00Z</dcterms:created>
  <dcterms:modified xsi:type="dcterms:W3CDTF">2022-08-23T09:42:00Z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