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0219995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2B1B83E1" w14:textId="77777777" w:rsidR="00B020D2" w:rsidRDefault="00B020D2">
      <w:pPr>
        <w:spacing w:after="0"/>
        <w:rPr>
          <w:rFonts w:asciiTheme="minorBidi" w:hAnsiTheme="minorBidi"/>
          <w:b/>
          <w:bCs/>
          <w:snapToGrid w:val="0"/>
          <w:sz w:val="24"/>
          <w:szCs w:val="24"/>
          <w:lang w:val="en-US"/>
        </w:rPr>
      </w:pPr>
    </w:p>
    <w:p w14:paraId="599F2535" w14:textId="77777777" w:rsidR="00B020D2" w:rsidRDefault="006B1C68">
      <w:pPr>
        <w:pStyle w:val="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lang w:eastAsia="zh-CN"/>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77777777" w:rsidR="00B020D2" w:rsidRDefault="006B1C68">
      <w:pPr>
        <w:pStyle w:val="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E devices are Rel-16 devices that contain both LTE SL and NR SL modules based on in-device coexistence framework</w:t>
      </w:r>
    </w:p>
    <w:p w14:paraId="5A5DED65" w14:textId="77777777"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2"/>
        <w:ind w:left="540"/>
      </w:pPr>
      <w:r>
        <w:t>[</w:t>
      </w:r>
      <w:r>
        <w:rPr>
          <w:i/>
        </w:rPr>
        <w:t>ACTIVE</w:t>
      </w:r>
      <w:r>
        <w:t>] Issue 1-1: Type A Devices</w:t>
      </w:r>
    </w:p>
    <w:p w14:paraId="449D9911" w14:textId="77777777" w:rsidR="00B020D2" w:rsidRDefault="006B1C68">
      <w:pPr>
        <w:pStyle w:val="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lastRenderedPageBreak/>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afe"/>
              <w:numPr>
                <w:ilvl w:val="0"/>
                <w:numId w:val="11"/>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afe"/>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0B6BF1">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0B6BF1">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0B6BF1">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0B6BF1">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afe"/>
              <w:numPr>
                <w:ilvl w:val="0"/>
                <w:numId w:val="16"/>
              </w:numPr>
            </w:pPr>
            <w:r>
              <w:t>The first bullet does not add anything new.</w:t>
            </w:r>
          </w:p>
          <w:p w14:paraId="64C99326" w14:textId="77777777" w:rsidR="00E83F74" w:rsidRDefault="00E83F74" w:rsidP="00E83F74">
            <w:pPr>
              <w:pStyle w:val="afe"/>
              <w:numPr>
                <w:ilvl w:val="0"/>
                <w:numId w:val="16"/>
              </w:numPr>
            </w:pPr>
            <w:r>
              <w:t>What is the intention of the second bullet? The Rel-16 coex framework does not say much about the internal signalling.</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not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2"/>
        <w:ind w:left="540"/>
      </w:pPr>
      <w:r>
        <w:lastRenderedPageBreak/>
        <w:t>[</w:t>
      </w:r>
      <w:r>
        <w:rPr>
          <w:i/>
        </w:rPr>
        <w:t>ACTIVE</w:t>
      </w:r>
      <w:r>
        <w:t>] Issue 1-2: Type B Devices</w:t>
      </w:r>
    </w:p>
    <w:p w14:paraId="66032330" w14:textId="77777777" w:rsidR="00B020D2" w:rsidRDefault="006B1C68">
      <w:pPr>
        <w:pStyle w:val="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lastRenderedPageBreak/>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lastRenderedPageBreak/>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afe"/>
              <w:numPr>
                <w:ilvl w:val="0"/>
                <w:numId w:val="11"/>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lastRenderedPageBreak/>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lastRenderedPageBreak/>
        <w:t>Proposal 1-2b:</w:t>
      </w:r>
    </w:p>
    <w:p w14:paraId="30C23875" w14:textId="77777777" w:rsidR="00B020D2" w:rsidRDefault="006B1C68">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afe"/>
        <w:ind w:left="1080"/>
        <w:jc w:val="both"/>
        <w:rPr>
          <w:rFonts w:ascii="Times New Roman" w:eastAsia="MS Mincho" w:hAnsi="Times New Roman"/>
          <w:b/>
          <w:szCs w:val="24"/>
        </w:rPr>
      </w:pPr>
    </w:p>
    <w:p w14:paraId="2B21D92E" w14:textId="77777777" w:rsidR="00B020D2" w:rsidRDefault="006B1C68">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afe"/>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afe"/>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afe"/>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0B6BF1">
        <w:trPr>
          <w:trHeight w:val="158"/>
        </w:trPr>
        <w:tc>
          <w:tcPr>
            <w:tcW w:w="1680" w:type="dxa"/>
          </w:tcPr>
          <w:p w14:paraId="6358CD99" w14:textId="77777777" w:rsidR="00191967" w:rsidRPr="00191967" w:rsidRDefault="00191967" w:rsidP="000B6BF1">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0B6BF1">
            <w:pPr>
              <w:spacing w:after="0"/>
              <w:rPr>
                <w:sz w:val="22"/>
                <w:lang w:eastAsia="zh-CN"/>
              </w:rPr>
            </w:pPr>
            <w:r w:rsidRPr="00191967">
              <w:rPr>
                <w:sz w:val="22"/>
                <w:lang w:eastAsia="zh-CN"/>
              </w:rPr>
              <w:t>Yes</w:t>
            </w:r>
          </w:p>
          <w:p w14:paraId="4D6CD63A" w14:textId="77777777" w:rsidR="00191967" w:rsidRPr="00191967" w:rsidRDefault="00191967" w:rsidP="000B6BF1">
            <w:pPr>
              <w:spacing w:after="0"/>
              <w:rPr>
                <w:sz w:val="22"/>
                <w:lang w:eastAsia="zh-CN"/>
              </w:rPr>
            </w:pPr>
            <w:r w:rsidRPr="00191967">
              <w:rPr>
                <w:sz w:val="22"/>
                <w:lang w:eastAsia="zh-CN"/>
              </w:rPr>
              <w:t>No</w:t>
            </w:r>
          </w:p>
          <w:p w14:paraId="63635D96" w14:textId="77777777" w:rsidR="00191967" w:rsidRPr="00191967" w:rsidRDefault="00191967" w:rsidP="000B6BF1">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0B6BF1">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0B6BF1">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0B6BF1">
        <w:trPr>
          <w:trHeight w:val="158"/>
        </w:trPr>
        <w:tc>
          <w:tcPr>
            <w:tcW w:w="1680" w:type="dxa"/>
          </w:tcPr>
          <w:p w14:paraId="6DFABEC1" w14:textId="12158354" w:rsidR="00E83F74" w:rsidRPr="00191967" w:rsidRDefault="00E83F74" w:rsidP="00E83F74">
            <w:pPr>
              <w:spacing w:after="0"/>
              <w:rPr>
                <w:sz w:val="22"/>
                <w:lang w:eastAsia="zh-CN"/>
              </w:rPr>
            </w:pPr>
            <w:r>
              <w:rPr>
                <w:sz w:val="22"/>
              </w:rPr>
              <w:lastRenderedPageBreak/>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0B6BF1">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0B6BF1">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bl>
    <w:p w14:paraId="22EB9BC0" w14:textId="77777777" w:rsidR="00B020D2" w:rsidRDefault="00B020D2">
      <w:pPr>
        <w:pStyle w:val="afe"/>
        <w:ind w:left="0"/>
        <w:jc w:val="both"/>
        <w:rPr>
          <w:rFonts w:ascii="Times New Roman" w:eastAsia="MS Mincho" w:hAnsi="Times New Roman"/>
          <w:b/>
          <w:szCs w:val="24"/>
        </w:rPr>
      </w:pPr>
    </w:p>
    <w:p w14:paraId="43C2E72C" w14:textId="77777777" w:rsidR="00B020D2" w:rsidRDefault="006B1C68">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lastRenderedPageBreak/>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0B6BF1">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0B6BF1">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0B6BF1">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r>
              <w:rPr>
                <w:sz w:val="22"/>
              </w:rPr>
              <w:t>Yes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bl>
    <w:p w14:paraId="57BDAD6A" w14:textId="77777777" w:rsidR="00B020D2" w:rsidRDefault="00B020D2">
      <w:pPr>
        <w:pStyle w:val="afe"/>
        <w:ind w:left="0"/>
        <w:jc w:val="both"/>
        <w:rPr>
          <w:rFonts w:ascii="Times New Roman" w:eastAsia="MS Mincho" w:hAnsi="Times New Roman"/>
          <w:b/>
          <w:szCs w:val="24"/>
        </w:rPr>
      </w:pPr>
    </w:p>
    <w:p w14:paraId="22B29F50" w14:textId="77777777" w:rsidR="00B020D2" w:rsidRDefault="006B1C68">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w:t>
            </w:r>
            <w:r>
              <w:rPr>
                <w:sz w:val="22"/>
                <w:lang w:eastAsia="zh-CN"/>
              </w:rPr>
              <w:lastRenderedPageBreak/>
              <w:t>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0B6BF1">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0B6BF1">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0B6BF1">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lastRenderedPageBreak/>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bl>
    <w:p w14:paraId="1852267C" w14:textId="77777777" w:rsidR="00B020D2" w:rsidRDefault="00B020D2">
      <w:pPr>
        <w:pStyle w:val="3GPPNormalText"/>
        <w:spacing w:before="240" w:after="0"/>
        <w:rPr>
          <w:b/>
        </w:rPr>
      </w:pPr>
    </w:p>
    <w:p w14:paraId="229B25BC" w14:textId="77777777" w:rsidR="00B020D2" w:rsidRDefault="006B1C68">
      <w:pPr>
        <w:pStyle w:val="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2"/>
        <w:ind w:left="540"/>
      </w:pPr>
      <w:r>
        <w:t>[</w:t>
      </w:r>
      <w:r>
        <w:rPr>
          <w:i/>
        </w:rPr>
        <w:t>ACTIVE</w:t>
      </w:r>
      <w:r>
        <w:t>] Issue 1-3: Device Type Coexistence</w:t>
      </w:r>
    </w:p>
    <w:p w14:paraId="2C4C6401" w14:textId="77777777" w:rsidR="00B020D2" w:rsidRDefault="006B1C68">
      <w:pPr>
        <w:pStyle w:val="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lastRenderedPageBreak/>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afe"/>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lastRenderedPageBreak/>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lastRenderedPageBreak/>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0B6BF1">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0B6BF1">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0B6BF1">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0B6BF1">
            <w:pPr>
              <w:spacing w:after="0"/>
              <w:rPr>
                <w:sz w:val="22"/>
                <w:lang w:eastAsia="zh-CN"/>
              </w:rPr>
            </w:pPr>
            <w:r>
              <w:rPr>
                <w:sz w:val="22"/>
                <w:lang w:eastAsia="zh-CN"/>
              </w:rPr>
              <w:t>Ericsson</w:t>
            </w:r>
          </w:p>
        </w:tc>
        <w:tc>
          <w:tcPr>
            <w:tcW w:w="1735" w:type="dxa"/>
          </w:tcPr>
          <w:p w14:paraId="0F233A13" w14:textId="749FCA98" w:rsidR="00447003" w:rsidRPr="00447003" w:rsidRDefault="00447003" w:rsidP="000B6BF1">
            <w:pPr>
              <w:spacing w:after="0"/>
              <w:rPr>
                <w:sz w:val="22"/>
                <w:lang w:eastAsia="zh-CN"/>
              </w:rPr>
            </w:pPr>
            <w:r>
              <w:rPr>
                <w:sz w:val="22"/>
                <w:lang w:eastAsia="zh-CN"/>
              </w:rPr>
              <w:t>OK</w:t>
            </w:r>
          </w:p>
        </w:tc>
        <w:tc>
          <w:tcPr>
            <w:tcW w:w="6570" w:type="dxa"/>
          </w:tcPr>
          <w:p w14:paraId="5577B6A7" w14:textId="77777777" w:rsidR="00447003" w:rsidRPr="00C0265E" w:rsidRDefault="00447003" w:rsidP="000B6BF1">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bl>
    <w:p w14:paraId="4AE71DEF" w14:textId="77777777" w:rsidR="00B020D2" w:rsidRDefault="00B020D2">
      <w:pPr>
        <w:pStyle w:val="3GPPNormalText"/>
        <w:spacing w:before="240" w:after="0"/>
        <w:rPr>
          <w:b/>
        </w:rPr>
      </w:pPr>
    </w:p>
    <w:p w14:paraId="1F74395C" w14:textId="77777777" w:rsidR="00B020D2" w:rsidRDefault="006B1C68">
      <w:pPr>
        <w:pStyle w:val="3"/>
      </w:pPr>
      <w:r>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lastRenderedPageBreak/>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2"/>
        <w:ind w:left="540"/>
      </w:pPr>
      <w:r>
        <w:t xml:space="preserve"> [</w:t>
      </w:r>
      <w:r>
        <w:rPr>
          <w:i/>
        </w:rPr>
        <w:t>ACTIVE</w:t>
      </w:r>
      <w:r>
        <w:t>] Issue 2-1: TDM-based Semi-static Resource Pool Partitioning</w:t>
      </w:r>
    </w:p>
    <w:p w14:paraId="4E3B145C" w14:textId="77777777" w:rsidR="00B020D2" w:rsidRDefault="006B1C68">
      <w:pPr>
        <w:pStyle w:val="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lastRenderedPageBreak/>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lastRenderedPageBreak/>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lastRenderedPageBreak/>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lastRenderedPageBreak/>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0B6BF1">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0B6BF1">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0B6BF1">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We are fine with this, but we think that further specification is clearly needed. There is room for improving semi-static resource pool partitioning wrt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bl>
    <w:p w14:paraId="31BAA65C" w14:textId="77777777" w:rsidR="00B020D2" w:rsidRDefault="00B020D2">
      <w:pPr>
        <w:pStyle w:val="3GPPNormalText"/>
        <w:spacing w:before="240" w:after="0"/>
        <w:rPr>
          <w:b/>
        </w:rPr>
      </w:pPr>
    </w:p>
    <w:p w14:paraId="608CF17C" w14:textId="77777777" w:rsidR="00B020D2" w:rsidRDefault="006B1C68">
      <w:pPr>
        <w:pStyle w:val="3"/>
      </w:pPr>
      <w:r>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2"/>
        <w:ind w:left="540"/>
      </w:pPr>
      <w:r>
        <w:t>[</w:t>
      </w:r>
      <w:r>
        <w:rPr>
          <w:i/>
        </w:rPr>
        <w:t>ACTIVE</w:t>
      </w:r>
      <w:r>
        <w:t>] Issue 2-2: FDM-based Semi-static Resource Pool Partitioning</w:t>
      </w:r>
    </w:p>
    <w:p w14:paraId="4775E86F" w14:textId="77777777" w:rsidR="00B020D2" w:rsidRDefault="006B1C68">
      <w:pPr>
        <w:pStyle w:val="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lastRenderedPageBreak/>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lastRenderedPageBreak/>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lastRenderedPageBreak/>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lastRenderedPageBreak/>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afe"/>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afe"/>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lastRenderedPageBreak/>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0B6BF1">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0B6BF1">
            <w:pPr>
              <w:spacing w:after="0"/>
              <w:rPr>
                <w:sz w:val="22"/>
                <w:lang w:val="en-US" w:eastAsia="zh-CN"/>
              </w:rPr>
            </w:pPr>
            <w:r w:rsidRPr="00BF47B1">
              <w:rPr>
                <w:sz w:val="22"/>
                <w:lang w:val="en-US" w:eastAsia="zh-CN"/>
              </w:rPr>
              <w:t>No</w:t>
            </w:r>
          </w:p>
          <w:p w14:paraId="49C20956" w14:textId="38B35B21" w:rsidR="00BF47B1" w:rsidRPr="00BF47B1" w:rsidRDefault="00BF47B1" w:rsidP="000B6BF1">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0B6BF1">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0B6BF1">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2"/>
        <w:ind w:left="540"/>
      </w:pPr>
      <w:r>
        <w:t xml:space="preserve"> [</w:t>
      </w:r>
      <w:r>
        <w:rPr>
          <w:i/>
        </w:rPr>
        <w:t>ACTIVE</w:t>
      </w:r>
      <w:r>
        <w:t>] Issue 2-3: Dynamic Resource Pool Sharing – SCS and PSFCH</w:t>
      </w:r>
    </w:p>
    <w:p w14:paraId="29E086EF" w14:textId="77777777" w:rsidR="00B020D2" w:rsidRDefault="006B1C68">
      <w:pPr>
        <w:pStyle w:val="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 xml:space="preserve">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w:t>
      </w:r>
      <w:r>
        <w:lastRenderedPageBreak/>
        <w:t>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lastRenderedPageBreak/>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lastRenderedPageBreak/>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lastRenderedPageBreak/>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lastRenderedPageBreak/>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3"/>
      </w:pPr>
      <w:r>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lastRenderedPageBreak/>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lastRenderedPageBreak/>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lastRenderedPageBreak/>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lastRenderedPageBreak/>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2F85EAF4"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afe"/>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3F9403D9" w14:textId="77777777" w:rsidR="00B020D2" w:rsidRDefault="006B1C68">
            <w:pPr>
              <w:pStyle w:val="afe"/>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afe"/>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afe"/>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afe"/>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afe"/>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0B6BF1">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0B6BF1">
            <w:pPr>
              <w:spacing w:after="0"/>
              <w:rPr>
                <w:sz w:val="22"/>
                <w:lang w:val="en-US" w:eastAsia="zh-CN"/>
              </w:rPr>
            </w:pPr>
            <w:r w:rsidRPr="00DD4CDA">
              <w:rPr>
                <w:sz w:val="22"/>
                <w:lang w:val="en-US" w:eastAsia="zh-CN"/>
              </w:rPr>
              <w:t>No</w:t>
            </w:r>
          </w:p>
          <w:p w14:paraId="5C373D64" w14:textId="77777777" w:rsidR="00DD4CDA" w:rsidRPr="00DD4CDA" w:rsidRDefault="00DD4CDA" w:rsidP="000B6BF1">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afe"/>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afe"/>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afe"/>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afe"/>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afe"/>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afe"/>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2"/>
        <w:ind w:left="540"/>
      </w:pPr>
      <w:r>
        <w:t xml:space="preserve"> [</w:t>
      </w:r>
      <w:r>
        <w:rPr>
          <w:i/>
        </w:rPr>
        <w:t>ACTIVE</w:t>
      </w:r>
      <w:r>
        <w:t>] Issue 2-4: Dynamic Resource Pool Sharing – Use of LTE Sensing Information</w:t>
      </w:r>
    </w:p>
    <w:p w14:paraId="60E09C78" w14:textId="77777777" w:rsidR="00B020D2" w:rsidRDefault="006B1C68">
      <w:pPr>
        <w:pStyle w:val="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lastRenderedPageBreak/>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afe"/>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w:t>
      </w:r>
      <w:r>
        <w:lastRenderedPageBreak/>
        <w:t>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lastRenderedPageBreak/>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lastRenderedPageBreak/>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lastRenderedPageBreak/>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lastRenderedPageBreak/>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lastRenderedPageBreak/>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afe"/>
              <w:numPr>
                <w:ilvl w:val="0"/>
                <w:numId w:val="14"/>
              </w:numPr>
            </w:pPr>
            <w:r>
              <w:lastRenderedPageBreak/>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lastRenderedPageBreak/>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Trigger-based, where the NR SL module triggers the LTE SL module to provide sensing and resource reservation information. </w:t>
      </w:r>
    </w:p>
    <w:p w14:paraId="2007F43B"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lastRenderedPageBreak/>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afe"/>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0B6BF1">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0B6BF1">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0B6BF1">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0B6BF1">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0B6BF1">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0B6BF1">
            <w:pPr>
              <w:spacing w:after="0"/>
              <w:rPr>
                <w:sz w:val="22"/>
                <w:lang w:eastAsia="zh-CN"/>
              </w:rPr>
            </w:pPr>
            <w:r w:rsidRPr="00F6034D">
              <w:rPr>
                <w:sz w:val="22"/>
                <w:lang w:eastAsia="zh-CN"/>
              </w:rPr>
              <w:t>The WID says “</w:t>
            </w:r>
            <w:r w:rsidRPr="00F6034D">
              <w:rPr>
                <w:rStyle w:val="afa"/>
                <w:rFonts w:ascii="Times" w:hAnsi="Times" w:cs="Times"/>
              </w:rPr>
              <w:t xml:space="preserve">it is important that there is mechanism to efficiently utilize resource allocation by the two technologies </w:t>
            </w:r>
            <w:r w:rsidRPr="00F6034D">
              <w:rPr>
                <w:rStyle w:val="afa"/>
                <w:rFonts w:ascii="Times" w:hAnsi="Times" w:cs="Times"/>
                <w:sz w:val="22"/>
                <w:szCs w:val="22"/>
                <w:u w:val="single"/>
              </w:rPr>
              <w:t xml:space="preserve">without negatively impacting the operation of </w:t>
            </w:r>
            <w:r w:rsidRPr="00F6034D">
              <w:rPr>
                <w:rStyle w:val="afa"/>
                <w:rFonts w:ascii="Times" w:hAnsi="Times" w:cs="Times"/>
                <w:b/>
                <w:bCs/>
                <w:sz w:val="22"/>
                <w:szCs w:val="22"/>
                <w:u w:val="single"/>
              </w:rPr>
              <w:t>each</w:t>
            </w:r>
            <w:r w:rsidRPr="00F6034D">
              <w:rPr>
                <w:rStyle w:val="afa"/>
                <w:rFonts w:ascii="Times" w:hAnsi="Times" w:cs="Times"/>
                <w:sz w:val="22"/>
                <w:szCs w:val="22"/>
                <w:u w:val="single"/>
              </w:rPr>
              <w:t xml:space="preserve"> technology</w:t>
            </w:r>
            <w:r w:rsidRPr="00F6034D">
              <w:rPr>
                <w:rStyle w:val="afa"/>
                <w:rFonts w:ascii="Times" w:hAnsi="Times" w:cs="Times"/>
                <w:sz w:val="22"/>
                <w:szCs w:val="22"/>
              </w:rPr>
              <w:t>.</w:t>
            </w:r>
            <w:r w:rsidRPr="00F6034D">
              <w:rPr>
                <w:rStyle w:val="afa"/>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afe"/>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afe"/>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afe"/>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bl>
    <w:p w14:paraId="64E398EA" w14:textId="77777777" w:rsidR="00B020D2" w:rsidRDefault="00B020D2">
      <w:pPr>
        <w:pStyle w:val="afe"/>
        <w:ind w:left="0"/>
        <w:jc w:val="both"/>
        <w:rPr>
          <w:rFonts w:ascii="Times New Roman" w:eastAsia="MS Mincho" w:hAnsi="Times New Roman"/>
          <w:b/>
          <w:szCs w:val="24"/>
        </w:rPr>
      </w:pPr>
    </w:p>
    <w:p w14:paraId="0A6E4039" w14:textId="77777777" w:rsidR="00B020D2" w:rsidRDefault="006B1C68">
      <w:pPr>
        <w:pStyle w:val="4"/>
        <w:tabs>
          <w:tab w:val="left" w:pos="568"/>
        </w:tabs>
        <w:ind w:left="900"/>
        <w:rPr>
          <w:lang w:val="en-US"/>
        </w:rPr>
      </w:pPr>
      <w:r>
        <w:rPr>
          <w:lang w:val="en-US"/>
        </w:rPr>
        <w:lastRenderedPageBreak/>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information shared by the LTE SL module to the NR SL module contains at least LTE </w:t>
            </w:r>
            <w:r>
              <w:rPr>
                <w:rFonts w:ascii="Times New Roman" w:eastAsia="MS Mincho" w:hAnsi="Times New Roman"/>
                <w:b/>
                <w:szCs w:val="24"/>
              </w:rPr>
              <w:lastRenderedPageBreak/>
              <w:t>sensing results and half-duplex subframes which are not monitored by the LTE SL UE.</w:t>
            </w:r>
          </w:p>
          <w:p w14:paraId="533E5980"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afe"/>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afe"/>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afe"/>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afe"/>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lastRenderedPageBreak/>
              <w:t>R</w:t>
            </w:r>
            <w:r>
              <w:rPr>
                <w:rFonts w:ascii="Times New Roman" w:eastAsia="MS Mincho" w:hAnsi="Times New Roman"/>
                <w:b/>
                <w:szCs w:val="24"/>
                <w:lang w:val="en-GB"/>
              </w:rPr>
              <w:t>esource reservation periods</w:t>
            </w:r>
          </w:p>
          <w:p w14:paraId="0559BBCE" w14:textId="77777777" w:rsidR="005D2E54" w:rsidRDefault="005D2E54" w:rsidP="005D2E54">
            <w:pPr>
              <w:pStyle w:val="afe"/>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0B6BF1">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0B6BF1">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0B6BF1">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bl>
    <w:p w14:paraId="471BDDAA" w14:textId="77777777" w:rsidR="00B020D2" w:rsidRDefault="00B020D2">
      <w:pPr>
        <w:pStyle w:val="afe"/>
        <w:ind w:left="0"/>
        <w:jc w:val="both"/>
        <w:rPr>
          <w:rFonts w:ascii="Times New Roman" w:eastAsia="MS Mincho" w:hAnsi="Times New Roman"/>
          <w:b/>
          <w:szCs w:val="24"/>
        </w:rPr>
      </w:pPr>
    </w:p>
    <w:p w14:paraId="1313A298" w14:textId="77777777" w:rsidR="00B020D2" w:rsidRDefault="006B1C68">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0B6BF1">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0B6BF1">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0B6BF1">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lastRenderedPageBreak/>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0B6BF1">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0B6BF1">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0B6BF1">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bl>
    <w:p w14:paraId="4DB84483" w14:textId="77777777" w:rsidR="00B020D2" w:rsidRDefault="00B020D2">
      <w:pPr>
        <w:pStyle w:val="3GPPNormalText"/>
        <w:spacing w:before="240" w:after="0"/>
        <w:rPr>
          <w:b/>
        </w:rPr>
      </w:pPr>
    </w:p>
    <w:p w14:paraId="312934FA" w14:textId="77777777" w:rsidR="00B020D2" w:rsidRDefault="006B1C68">
      <w:pPr>
        <w:pStyle w:val="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2"/>
        <w:ind w:left="540"/>
      </w:pPr>
      <w:r>
        <w:t>Comparison of Solutions and Evaluation Results</w:t>
      </w:r>
    </w:p>
    <w:p w14:paraId="34478ACF" w14:textId="77777777" w:rsidR="00B020D2" w:rsidRDefault="006B1C68">
      <w:pPr>
        <w:pStyle w:val="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1F7BFFBE"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afe"/>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afe"/>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lastRenderedPageBreak/>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2"/>
        <w:ind w:left="540"/>
      </w:pPr>
      <w:r>
        <w:t>Others</w:t>
      </w:r>
    </w:p>
    <w:p w14:paraId="33032F33" w14:textId="77777777" w:rsidR="00B020D2" w:rsidRDefault="006B1C68">
      <w:pPr>
        <w:pStyle w:val="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lastRenderedPageBreak/>
              <w:t>Spreadtrum</w:t>
            </w:r>
          </w:p>
        </w:tc>
        <w:tc>
          <w:tcPr>
            <w:tcW w:w="8148" w:type="dxa"/>
          </w:tcPr>
          <w:p w14:paraId="7A6A9249" w14:textId="77777777" w:rsidR="00B020D2" w:rsidRDefault="006B1C68">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lastRenderedPageBreak/>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1"/>
      </w:pPr>
      <w:r>
        <w:t>Others</w:t>
      </w:r>
    </w:p>
    <w:p w14:paraId="089D0816" w14:textId="77777777" w:rsidR="00B020D2" w:rsidRDefault="006B1C68">
      <w:pPr>
        <w:pStyle w:val="2"/>
        <w:ind w:left="540"/>
      </w:pPr>
      <w:r>
        <w:t xml:space="preserve"> [</w:t>
      </w:r>
      <w:r>
        <w:rPr>
          <w:i/>
        </w:rPr>
        <w:t>ACTIVE</w:t>
      </w:r>
      <w:r>
        <w:t>] Issue 3-1: Operational Modes</w:t>
      </w:r>
    </w:p>
    <w:p w14:paraId="0B4BE9A5" w14:textId="77777777" w:rsidR="00B020D2" w:rsidRDefault="006B1C68">
      <w:pPr>
        <w:pStyle w:val="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afe"/>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afe"/>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afe"/>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afe"/>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afe"/>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afe"/>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lastRenderedPageBreak/>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lastRenderedPageBreak/>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0B6BF1">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0B6BF1">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0B6BF1">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bl>
    <w:p w14:paraId="0AE9BFE1" w14:textId="77777777" w:rsidR="00B020D2" w:rsidRDefault="00B020D2">
      <w:pPr>
        <w:pStyle w:val="3GPPNormalText"/>
        <w:spacing w:before="240" w:after="0"/>
        <w:rPr>
          <w:b/>
        </w:rPr>
      </w:pPr>
    </w:p>
    <w:p w14:paraId="4472C55F" w14:textId="77777777" w:rsidR="00B020D2" w:rsidRDefault="006B1C68">
      <w:pPr>
        <w:pStyle w:val="3"/>
      </w:pPr>
      <w:r>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2"/>
        <w:ind w:left="540"/>
      </w:pPr>
      <w:r>
        <w:t xml:space="preserve"> [</w:t>
      </w:r>
      <w:r>
        <w:rPr>
          <w:i/>
        </w:rPr>
        <w:t>ACTIVE</w:t>
      </w:r>
      <w:r>
        <w:t>] Issue 3-2: Synchronization</w:t>
      </w:r>
    </w:p>
    <w:p w14:paraId="2F439C23" w14:textId="77777777" w:rsidR="00B020D2" w:rsidRDefault="006B1C68">
      <w:pPr>
        <w:pStyle w:val="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lastRenderedPageBreak/>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lastRenderedPageBreak/>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lastRenderedPageBreak/>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w:t>
            </w:r>
            <w:r>
              <w:rPr>
                <w:rFonts w:hint="eastAsia"/>
                <w:sz w:val="22"/>
                <w:lang w:val="en-US" w:eastAsia="zh-CN"/>
              </w:rPr>
              <w:lastRenderedPageBreak/>
              <w:t xml:space="preserve">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lastRenderedPageBreak/>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0B6BF1">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0B6BF1">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0B6BF1">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rFonts w:hint="eastAsia"/>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rFonts w:hint="eastAsia"/>
                <w:sz w:val="22"/>
                <w:lang w:eastAsia="zh-CN"/>
              </w:rPr>
            </w:pPr>
            <w:r>
              <w:rPr>
                <w:rFonts w:hint="eastAsia"/>
                <w:sz w:val="22"/>
                <w:lang w:eastAsia="zh-CN"/>
              </w:rPr>
              <w:t>Y</w:t>
            </w:r>
            <w:r>
              <w:rPr>
                <w:sz w:val="22"/>
                <w:lang w:eastAsia="zh-CN"/>
              </w:rPr>
              <w:t>es</w:t>
            </w:r>
            <w:bookmarkStart w:id="2" w:name="_GoBack"/>
            <w:bookmarkEnd w:id="2"/>
          </w:p>
        </w:tc>
        <w:tc>
          <w:tcPr>
            <w:tcW w:w="6570" w:type="dxa"/>
          </w:tcPr>
          <w:p w14:paraId="703703C2" w14:textId="77777777" w:rsidR="0079258A" w:rsidRPr="007404CD" w:rsidRDefault="0079258A" w:rsidP="00447003">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2"/>
        <w:ind w:left="540"/>
      </w:pPr>
      <w:r>
        <w:t>Operational Scenarios</w:t>
      </w:r>
    </w:p>
    <w:p w14:paraId="1968A152" w14:textId="77777777" w:rsidR="00B020D2" w:rsidRDefault="006B1C68">
      <w:pPr>
        <w:pStyle w:val="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1"/>
      </w:pPr>
      <w:r>
        <w:lastRenderedPageBreak/>
        <w:t xml:space="preserve">Collection of Agreements/Conclusions from Previous Meetings </w:t>
      </w:r>
    </w:p>
    <w:p w14:paraId="1B8950B4" w14:textId="77777777" w:rsidR="00B020D2" w:rsidRDefault="006B1C68">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6E99B832"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1969ED">
            <w:pPr>
              <w:spacing w:before="0" w:after="0"/>
              <w:rPr>
                <w:sz w:val="22"/>
              </w:rPr>
            </w:pPr>
            <w:hyperlink r:id="rId15"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1969ED">
            <w:pPr>
              <w:spacing w:before="0" w:after="0" w:line="240" w:lineRule="auto"/>
              <w:rPr>
                <w:sz w:val="22"/>
              </w:rPr>
            </w:pPr>
            <w:hyperlink r:id="rId16"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lastRenderedPageBreak/>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9B56A" w14:textId="77777777" w:rsidR="001969ED" w:rsidRDefault="001969ED">
      <w:pPr>
        <w:spacing w:after="0" w:line="240" w:lineRule="auto"/>
      </w:pPr>
      <w:r>
        <w:separator/>
      </w:r>
    </w:p>
  </w:endnote>
  <w:endnote w:type="continuationSeparator" w:id="0">
    <w:p w14:paraId="20E56053" w14:textId="77777777" w:rsidR="001969ED" w:rsidRDefault="0019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4D94" w14:textId="77777777" w:rsidR="006B1C68" w:rsidRDefault="006B1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6B1C68" w:rsidRDefault="006B1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F48F" w14:textId="13A633CD" w:rsidR="006B1C68" w:rsidRDefault="006B1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9258A">
      <w:rPr>
        <w:rStyle w:val="CharChar2"/>
        <w:b/>
        <w:i/>
        <w:noProof/>
        <w:sz w:val="18"/>
      </w:rPr>
      <w:t>68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9258A">
      <w:rPr>
        <w:rStyle w:val="CharChar2"/>
        <w:b/>
        <w:i/>
        <w:noProof/>
        <w:sz w:val="18"/>
      </w:rPr>
      <w:t>68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C98D1" w14:textId="77777777" w:rsidR="001969ED" w:rsidRDefault="001969ED">
      <w:pPr>
        <w:spacing w:after="0" w:line="240" w:lineRule="auto"/>
      </w:pPr>
      <w:r>
        <w:separator/>
      </w:r>
    </w:p>
  </w:footnote>
  <w:footnote w:type="continuationSeparator" w:id="0">
    <w:p w14:paraId="24B45065" w14:textId="77777777" w:rsidR="001969ED" w:rsidRDefault="0019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57A5" w14:textId="77777777" w:rsidR="006B1C68" w:rsidRDefault="006B1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0"/>
  </w:num>
  <w:num w:numId="8">
    <w:abstractNumId w:val="15"/>
  </w:num>
  <w:num w:numId="9">
    <w:abstractNumId w:val="12"/>
  </w:num>
  <w:num w:numId="10">
    <w:abstractNumId w:val="7"/>
  </w:num>
  <w:num w:numId="11">
    <w:abstractNumId w:val="1"/>
  </w:num>
  <w:num w:numId="12">
    <w:abstractNumId w:val="14"/>
  </w:num>
  <w:num w:numId="13">
    <w:abstractNumId w:val="11"/>
  </w:num>
  <w:num w:numId="14">
    <w:abstractNumId w:val="2"/>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2"/>
    <w:next w:val="a"/>
    <w:semiHidden/>
    <w:qFormat/>
    <w:pPr>
      <w:ind w:left="1701" w:hanging="1701"/>
    </w:pPr>
  </w:style>
  <w:style w:type="paragraph" w:styleId="42">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23">
    <w:name w:val="List Number 2"/>
    <w:basedOn w:val="a4"/>
    <w:pPr>
      <w:ind w:left="851"/>
    </w:pPr>
  </w:style>
  <w:style w:type="paragraph" w:styleId="a4">
    <w:name w:val="List Number"/>
    <w:basedOn w:val="a3"/>
    <w:qFormat/>
  </w:style>
  <w:style w:type="paragraph" w:styleId="43">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4">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2">
    <w:name w:val="List Bullet 5"/>
    <w:basedOn w:val="43"/>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heme="minorEastAsia" w:hAnsi="Arial"/>
      <w:b/>
      <w:sz w:val="18"/>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a3"/>
    <w:link w:val="B10"/>
    <w:uiPriority w:val="99"/>
  </w:style>
  <w:style w:type="paragraph" w:customStyle="1" w:styleId="B2">
    <w:name w:val="B2"/>
    <w:basedOn w:val="21"/>
    <w:qFormat/>
  </w:style>
  <w:style w:type="paragraph" w:customStyle="1" w:styleId="B3">
    <w:name w:val="B3"/>
    <w:basedOn w:val="31"/>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出段落2"/>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rPr>
      <w:rFonts w:asciiTheme="minorHAnsi" w:eastAsiaTheme="minorHAnsi" w:hAnsiTheme="minorHAnsi" w:cstheme="minorBidi"/>
      <w:sz w:val="22"/>
      <w:szCs w:val="22"/>
      <w:lang w:val="en-GB"/>
    </w:rPr>
  </w:style>
  <w:style w:type="character" w:customStyle="1" w:styleId="aff">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9C79ED-714D-450F-BAE4-4D827D0C9981}">
  <ds:schemaRefs>
    <ds:schemaRef ds:uri="http://schemas.openxmlformats.org/officeDocument/2006/bibliography"/>
  </ds:schemaRefs>
</ds:datastoreItem>
</file>

<file path=customXml/itemProps8.xml><?xml version="1.0" encoding="utf-8"?>
<ds:datastoreItem xmlns:ds="http://schemas.openxmlformats.org/officeDocument/2006/customXml" ds:itemID="{110CC4FE-3C8C-4D91-97EC-2083FDA3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68</Pages>
  <Words>24753</Words>
  <Characters>141098</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165520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Luochao</cp:lastModifiedBy>
  <cp:revision>3</cp:revision>
  <cp:lastPrinted>2022-01-05T12:49:00Z</cp:lastPrinted>
  <dcterms:created xsi:type="dcterms:W3CDTF">2022-08-23T08:04:00Z</dcterms:created>
  <dcterms:modified xsi:type="dcterms:W3CDTF">2022-08-23T08:08:00Z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