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aff"/>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aff"/>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aff"/>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aff"/>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aff"/>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aff"/>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aff"/>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aff"/>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aff"/>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aff"/>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aff"/>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aff"/>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aff"/>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aff"/>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aff"/>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aff"/>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aff"/>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aff"/>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aff"/>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aff"/>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aff"/>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aff"/>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aff"/>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aff"/>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aff"/>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aff"/>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aff"/>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aff"/>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aff"/>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aff"/>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aff"/>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aff"/>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aff"/>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aff"/>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aff"/>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aff"/>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aff"/>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aff"/>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aff"/>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aff"/>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aff"/>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aff"/>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aff"/>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aff"/>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aff"/>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aff"/>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aff"/>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aff"/>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aff"/>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aff"/>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aff"/>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aff"/>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aff"/>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aff"/>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aff"/>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aff"/>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aff"/>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aff"/>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hint="eastAsia"/>
                <w:lang w:eastAsia="zh-CN"/>
              </w:rPr>
            </w:pPr>
            <w:r>
              <w:rPr>
                <w:rFonts w:eastAsiaTheme="minorEastAsia" w:hint="eastAsia"/>
                <w:lang w:eastAsia="zh-CN"/>
              </w:rPr>
              <w:t>W</w:t>
            </w:r>
            <w:r>
              <w:rPr>
                <w:rFonts w:eastAsiaTheme="minorEastAsia"/>
                <w:lang w:eastAsia="zh-CN"/>
              </w:rPr>
              <w:t>e prefer a single CAPC table for both mode 1 and mode 2.</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aff"/>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aff"/>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aff"/>
        <w:numPr>
          <w:ilvl w:val="2"/>
          <w:numId w:val="19"/>
        </w:numPr>
        <w:autoSpaceDE w:val="0"/>
        <w:autoSpaceDN w:val="0"/>
        <w:ind w:leftChars="0"/>
        <w:jc w:val="both"/>
        <w:rPr>
          <w:rFonts w:ascii="Calibri" w:hAnsi="Calibri" w:cs="Calibri"/>
          <w:sz w:val="22"/>
        </w:rPr>
      </w:pPr>
      <w:r w:rsidRPr="0018699A">
        <w:rPr>
          <w:rFonts w:ascii="Calibri" w:hAnsi="Calibri" w:cs="Calibri"/>
          <w:sz w:val="22"/>
        </w:rPr>
        <w:lastRenderedPageBreak/>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following </w:t>
            </w:r>
            <w:r w:rsidR="002F408F">
              <w:rPr>
                <w:rFonts w:eastAsiaTheme="minorEastAsia"/>
                <w:lang w:eastAsia="zh-CN"/>
              </w:rPr>
              <w:pgNum/>
              <w:t>escription</w:t>
            </w:r>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eNB/gNB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hint="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aff"/>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aff"/>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aff"/>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aff"/>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lastRenderedPageBreak/>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hint="eastAsia"/>
                <w:lang w:eastAsia="zh-CN"/>
              </w:rPr>
            </w:pPr>
            <w:r>
              <w:rPr>
                <w:rFonts w:eastAsiaTheme="minorEastAsia" w:hint="eastAsia"/>
                <w:lang w:eastAsia="zh-CN"/>
              </w:rPr>
              <w:t>W</w:t>
            </w:r>
            <w:r>
              <w:rPr>
                <w:rFonts w:eastAsiaTheme="minorEastAsia"/>
                <w:lang w:eastAsia="zh-CN"/>
              </w:rPr>
              <w:t>e are fine with the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aff"/>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brought to this meeting in the contributions. Applicable scenarios for the COT sharing range from a very tight restriction of unicast only (only one target receiver UE), a somewhat limited target U</w:t>
      </w:r>
      <w:r w:rsidR="001B61A2">
        <w:rPr>
          <w:rFonts w:ascii="Calibri" w:hAnsi="Calibri" w:cs="Calibri"/>
          <w:sz w:val="22"/>
        </w:rPr>
        <w:t>e</w:t>
      </w:r>
      <w:r w:rsidR="00B0422B">
        <w:rPr>
          <w:rFonts w:ascii="Calibri" w:hAnsi="Calibri" w:cs="Calibri"/>
          <w:sz w:val="22"/>
        </w:rPr>
        <w:t xml:space="preserv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in SL Mode 1 RA. But it still leaves the door open as to whether in Mode 1 RA a gNB can share/forward a COT to a SL UE that was received from another SL UE (even when the two U</w:t>
      </w:r>
      <w:r w:rsidR="001B61A2">
        <w:rPr>
          <w:rFonts w:ascii="Calibri" w:hAnsi="Calibri" w:cs="Calibri"/>
          <w:sz w:val="22"/>
        </w:rPr>
        <w:t>e</w:t>
      </w:r>
      <w:r w:rsidR="00DA37D4">
        <w:rPr>
          <w:rFonts w:ascii="Calibri" w:hAnsi="Calibri" w:cs="Calibri"/>
          <w:sz w:val="22"/>
        </w:rPr>
        <w:t xml:space="preserv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lastRenderedPageBreak/>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aff"/>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w:t>
            </w:r>
            <w:r w:rsidR="001B61A2">
              <w:t>e</w:t>
            </w:r>
            <w:r w:rsidR="00513192">
              <w:t>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lastRenderedPageBreak/>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7906BF">
            <w:pPr>
              <w:pStyle w:val="aff"/>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7906BF">
            <w:pPr>
              <w:pStyle w:val="aff"/>
              <w:numPr>
                <w:ilvl w:val="2"/>
                <w:numId w:val="19"/>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7906BF">
            <w:pPr>
              <w:pStyle w:val="aff"/>
              <w:numPr>
                <w:ilvl w:val="1"/>
                <w:numId w:val="19"/>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7906BF">
            <w:pPr>
              <w:pStyle w:val="aff"/>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2E12E27C" w14:textId="77777777" w:rsidR="007E14C0" w:rsidRDefault="007E14C0" w:rsidP="007906BF">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FCCF496" w14:textId="4425AAA1" w:rsidR="00C109B8" w:rsidRDefault="00172EA7" w:rsidP="00172EA7">
            <w:r>
              <w:t>We are of the view that for efficient operation of SL-U and to support low-latency applications, it is necessary to support COT sharing from one UE to multiple U</w:t>
            </w:r>
            <w:r w:rsidR="001B61A2">
              <w:t>e</w:t>
            </w:r>
            <w:r>
              <w:t xml:space="preserve">s.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hint="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aff"/>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aff"/>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aff"/>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aff"/>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aff"/>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lastRenderedPageBreak/>
              <w:t xml:space="preserve">Since SCSt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hint="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aff"/>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aff"/>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aff"/>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aff"/>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5744A2">
            <w:pPr>
              <w:pStyle w:val="aff"/>
              <w:numPr>
                <w:ilvl w:val="0"/>
                <w:numId w:val="47"/>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lastRenderedPageBreak/>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hint="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aff"/>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aff"/>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aff"/>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hint="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hint="eastAsia"/>
                <w:lang w:eastAsia="zh-CN"/>
              </w:rPr>
            </w:pPr>
            <w:r>
              <w:rPr>
                <w:rFonts w:eastAsiaTheme="minorEastAsia" w:hint="eastAsia"/>
                <w:lang w:eastAsia="zh-CN"/>
              </w:rPr>
              <w:t>W</w:t>
            </w:r>
            <w:r>
              <w:rPr>
                <w:rFonts w:eastAsiaTheme="minorEastAsia"/>
                <w:lang w:eastAsia="zh-CN"/>
              </w:rPr>
              <w:t>e support the proposal.</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aff"/>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126" w:firstLine="442"/>
        <w:rPr>
          <w:b/>
          <w:i/>
          <w:color w:val="0070C0"/>
        </w:rPr>
      </w:pPr>
    </w:p>
    <w:p w14:paraId="533C8CCB" w14:textId="77777777" w:rsidR="00BD6C98" w:rsidRPr="00E67FBC" w:rsidRDefault="00BD6C98" w:rsidP="00BD6C98">
      <w:pPr>
        <w:pStyle w:val="aff"/>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lastRenderedPageBreak/>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5"/>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4" w:name="_Ref111192700"/>
      <w:r>
        <w:t>Table</w:t>
      </w:r>
      <w:bookmarkEnd w:id="24"/>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lastRenderedPageBreak/>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5" w:name="_Toc100326636"/>
      <w:bookmarkStart w:id="26" w:name="_Toc101187877"/>
      <w:bookmarkStart w:id="27" w:name="_Toc101188076"/>
      <w:bookmarkStart w:id="28" w:name="_Toc101188092"/>
      <w:bookmarkStart w:id="29" w:name="_Toc101345888"/>
      <w:bookmarkStart w:id="30" w:name="_Toc101346001"/>
      <w:bookmarkStart w:id="31" w:name="_Toc101361942"/>
      <w:bookmarkStart w:id="32" w:name="_Toc101363691"/>
      <w:bookmarkStart w:id="33" w:name="_Toc101366122"/>
      <w:bookmarkStart w:id="34" w:name="_Toc101366142"/>
      <w:bookmarkStart w:id="35" w:name="_Toc101371106"/>
      <w:bookmarkStart w:id="36" w:name="_Toc101373025"/>
      <w:bookmarkStart w:id="37" w:name="_Toc101373666"/>
      <w:bookmarkStart w:id="38" w:name="_Toc101376920"/>
      <w:bookmarkStart w:id="39" w:name="_Toc101448195"/>
      <w:bookmarkStart w:id="40" w:name="_Toc101452732"/>
      <w:bookmarkStart w:id="41" w:name="_Toc101453313"/>
      <w:bookmarkStart w:id="42" w:name="_Toc101453332"/>
      <w:bookmarkStart w:id="43" w:name="_Toc101453791"/>
      <w:bookmarkStart w:id="44" w:name="_Toc101453810"/>
      <w:bookmarkStart w:id="45" w:name="_Toc101453829"/>
      <w:bookmarkStart w:id="46" w:name="_Toc101453848"/>
      <w:bookmarkStart w:id="47" w:name="_Toc101453938"/>
      <w:bookmarkStart w:id="48" w:name="_Toc101453957"/>
      <w:bookmarkStart w:id="49" w:name="_Toc101453976"/>
      <w:bookmarkStart w:id="50" w:name="_Toc101453995"/>
      <w:bookmarkStart w:id="51" w:name="_Toc101454066"/>
      <w:bookmarkStart w:id="52" w:name="_Toc101454085"/>
      <w:bookmarkStart w:id="53" w:name="_Toc101454200"/>
      <w:bookmarkStart w:id="54" w:name="_Toc101454219"/>
      <w:bookmarkStart w:id="55" w:name="_Toc101454303"/>
      <w:bookmarkStart w:id="56" w:name="_Toc101454322"/>
      <w:bookmarkStart w:id="57" w:name="_Toc101454341"/>
      <w:bookmarkStart w:id="58" w:name="_Toc101454360"/>
      <w:bookmarkStart w:id="59" w:name="_Toc101516469"/>
      <w:bookmarkStart w:id="60" w:name="_Toc101786927"/>
      <w:bookmarkStart w:id="61" w:name="_Toc101786946"/>
      <w:bookmarkStart w:id="62" w:name="_Toc101795439"/>
      <w:bookmarkStart w:id="63" w:name="_Toc101795458"/>
      <w:bookmarkStart w:id="64" w:name="_Toc101795757"/>
      <w:bookmarkStart w:id="65" w:name="_Toc109296577"/>
      <w:bookmarkStart w:id="66" w:name="_Toc109318165"/>
      <w:bookmarkStart w:id="67" w:name="_Toc109375285"/>
      <w:bookmarkStart w:id="68" w:name="_Toc109375309"/>
      <w:bookmarkStart w:id="69" w:name="_Toc109384427"/>
      <w:bookmarkStart w:id="70" w:name="_Toc109384731"/>
      <w:bookmarkStart w:id="71" w:name="_Toc109384755"/>
      <w:bookmarkStart w:id="72" w:name="_Toc109385625"/>
      <w:bookmarkStart w:id="73" w:name="_Toc109385649"/>
      <w:bookmarkStart w:id="74" w:name="_Toc109388544"/>
      <w:bookmarkStart w:id="75" w:name="_Toc109388568"/>
      <w:bookmarkStart w:id="76" w:name="_Toc109388592"/>
      <w:bookmarkStart w:id="77" w:name="_Toc109388616"/>
      <w:bookmarkStart w:id="78" w:name="_Toc110240823"/>
      <w:bookmarkStart w:id="79" w:name="_Toc110240849"/>
      <w:bookmarkStart w:id="80" w:name="_Toc110242984"/>
      <w:bookmarkStart w:id="81" w:name="_Toc110244608"/>
      <w:bookmarkStart w:id="82" w:name="_Toc110244634"/>
      <w:bookmarkStart w:id="83" w:name="_Toc110254584"/>
      <w:bookmarkStart w:id="84" w:name="_Toc110254609"/>
      <w:bookmarkStart w:id="85" w:name="_Toc110845389"/>
      <w:bookmarkStart w:id="86" w:name="_Toc110845414"/>
      <w:bookmarkStart w:id="87" w:name="_Toc110848254"/>
      <w:bookmarkStart w:id="88" w:name="_Toc110848279"/>
      <w:bookmarkStart w:id="89" w:name="_Toc110848590"/>
      <w:bookmarkStart w:id="90" w:name="_Toc110848615"/>
      <w:bookmarkStart w:id="91" w:name="_Toc110850903"/>
      <w:bookmarkStart w:id="92" w:name="_Toc110850928"/>
      <w:bookmarkStart w:id="93" w:name="_Toc110851721"/>
      <w:bookmarkStart w:id="94" w:name="_Toc111103410"/>
      <w:bookmarkStart w:id="95" w:name="_Toc111104317"/>
      <w:bookmarkStart w:id="96" w:name="_Toc111104342"/>
      <w:r w:rsidRPr="00B96A4A">
        <w:rPr>
          <w:rFonts w:asciiTheme="minorHAnsi" w:eastAsia="宋体" w:hAnsiTheme="minorHAnsi" w:cstheme="minorHAnsi"/>
          <w:b w:val="0"/>
          <w:bCs/>
          <w:i w:val="0"/>
          <w:iCs/>
          <w:sz w:val="22"/>
          <w:szCs w:val="22"/>
        </w:rPr>
        <w:t>in the case that PSFCH is configured, using sidelink A/N feedback for contention window adjustment in SL-U, more details 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7" w:name="_Toc100326637"/>
      <w:bookmarkStart w:id="98" w:name="_Toc101187878"/>
      <w:bookmarkStart w:id="99" w:name="_Toc101188077"/>
      <w:bookmarkStart w:id="100" w:name="_Toc101188093"/>
      <w:bookmarkStart w:id="101" w:name="_Toc101345889"/>
      <w:bookmarkStart w:id="102" w:name="_Toc101346002"/>
      <w:bookmarkStart w:id="103" w:name="_Toc101361943"/>
      <w:bookmarkStart w:id="104" w:name="_Toc101363692"/>
      <w:bookmarkStart w:id="105" w:name="_Toc101366123"/>
      <w:bookmarkStart w:id="106" w:name="_Toc101366143"/>
      <w:bookmarkStart w:id="107" w:name="_Toc101371107"/>
      <w:bookmarkStart w:id="108" w:name="_Toc101373026"/>
      <w:bookmarkStart w:id="109" w:name="_Toc101373667"/>
      <w:bookmarkStart w:id="110" w:name="_Toc101376921"/>
      <w:bookmarkStart w:id="111" w:name="_Toc101448196"/>
      <w:bookmarkStart w:id="112" w:name="_Toc101452733"/>
      <w:bookmarkStart w:id="113" w:name="_Toc101453314"/>
      <w:bookmarkStart w:id="114" w:name="_Toc101453333"/>
      <w:bookmarkStart w:id="115" w:name="_Toc101453792"/>
      <w:bookmarkStart w:id="116" w:name="_Toc101453811"/>
      <w:bookmarkStart w:id="117" w:name="_Toc101453830"/>
      <w:bookmarkStart w:id="118" w:name="_Toc101453849"/>
      <w:bookmarkStart w:id="119" w:name="_Toc101453939"/>
      <w:bookmarkStart w:id="120" w:name="_Toc101453958"/>
      <w:bookmarkStart w:id="121" w:name="_Toc101453977"/>
      <w:bookmarkStart w:id="122" w:name="_Toc101453996"/>
      <w:bookmarkStart w:id="123" w:name="_Toc101454067"/>
      <w:bookmarkStart w:id="124" w:name="_Toc101454086"/>
      <w:bookmarkStart w:id="125" w:name="_Toc101454201"/>
      <w:bookmarkStart w:id="126" w:name="_Toc101454220"/>
      <w:bookmarkStart w:id="127" w:name="_Toc101454304"/>
      <w:bookmarkStart w:id="128" w:name="_Toc101454323"/>
      <w:bookmarkStart w:id="129" w:name="_Toc101454342"/>
      <w:bookmarkStart w:id="130" w:name="_Toc101454361"/>
      <w:bookmarkStart w:id="131" w:name="_Toc101516470"/>
      <w:bookmarkStart w:id="132" w:name="_Toc101786928"/>
      <w:bookmarkStart w:id="133" w:name="_Toc101786947"/>
      <w:bookmarkStart w:id="134" w:name="_Toc101795440"/>
      <w:bookmarkStart w:id="135" w:name="_Toc101795459"/>
      <w:bookmarkStart w:id="136" w:name="_Toc101795758"/>
      <w:bookmarkStart w:id="137" w:name="_Toc109296578"/>
      <w:bookmarkStart w:id="138" w:name="_Toc109318166"/>
      <w:bookmarkStart w:id="139" w:name="_Toc109375286"/>
      <w:bookmarkStart w:id="140" w:name="_Toc109375310"/>
      <w:bookmarkStart w:id="141" w:name="_Toc109384428"/>
      <w:bookmarkStart w:id="142" w:name="_Toc109384732"/>
      <w:bookmarkStart w:id="143" w:name="_Toc109384756"/>
      <w:bookmarkStart w:id="144" w:name="_Toc109385626"/>
      <w:bookmarkStart w:id="145" w:name="_Toc109385650"/>
      <w:bookmarkStart w:id="146" w:name="_Toc109388545"/>
      <w:bookmarkStart w:id="147" w:name="_Toc109388569"/>
      <w:bookmarkStart w:id="148" w:name="_Toc109388593"/>
      <w:bookmarkStart w:id="149" w:name="_Toc109388617"/>
      <w:bookmarkStart w:id="150" w:name="_Toc110240824"/>
      <w:bookmarkStart w:id="151" w:name="_Toc110240850"/>
      <w:bookmarkStart w:id="152" w:name="_Toc110242985"/>
      <w:bookmarkStart w:id="153" w:name="_Toc110244609"/>
      <w:bookmarkStart w:id="154" w:name="_Toc110244635"/>
      <w:bookmarkStart w:id="155" w:name="_Toc110254585"/>
      <w:bookmarkStart w:id="156" w:name="_Toc110254610"/>
      <w:bookmarkStart w:id="157" w:name="_Toc110845390"/>
      <w:bookmarkStart w:id="158" w:name="_Toc110845415"/>
      <w:bookmarkStart w:id="159" w:name="_Toc110848255"/>
      <w:bookmarkStart w:id="160" w:name="_Toc110848280"/>
      <w:bookmarkStart w:id="161" w:name="_Toc110848591"/>
      <w:bookmarkStart w:id="162" w:name="_Toc110848616"/>
      <w:bookmarkStart w:id="163" w:name="_Toc110850904"/>
      <w:bookmarkStart w:id="164" w:name="_Toc110850929"/>
      <w:bookmarkStart w:id="165" w:name="_Toc110851722"/>
      <w:bookmarkStart w:id="166" w:name="_Toc111103411"/>
      <w:bookmarkStart w:id="167" w:name="_Toc111104318"/>
      <w:bookmarkStart w:id="168" w:name="_Toc111104343"/>
      <w:r w:rsidRPr="00B96A4A">
        <w:rPr>
          <w:rFonts w:asciiTheme="minorHAnsi" w:eastAsia="宋体" w:hAnsiTheme="minorHAnsi" w:cstheme="minorHAnsi"/>
          <w:b w:val="0"/>
          <w:bCs/>
          <w:i w:val="0"/>
          <w:iCs/>
          <w:sz w:val="22"/>
          <w:szCs w:val="22"/>
        </w:rPr>
        <w:t>in the case that PSFCH is not configured, using sidelink CR/CBR for contention window adjustment, more details 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[6/HW, HiSi]: Mapping between CAPC and sidelink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aff"/>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aff"/>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aff"/>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aff"/>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aff"/>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aff"/>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aff"/>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DB19EA">
      <w:pPr>
        <w:pStyle w:val="aff"/>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aff"/>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aff"/>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aff"/>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aff"/>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aff"/>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aff"/>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aff"/>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aff"/>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aff"/>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aff"/>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aff"/>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aff"/>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aff"/>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aff"/>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aff"/>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aff"/>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4C431E">
      <w:pPr>
        <w:pStyle w:val="aff"/>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aff"/>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aff"/>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aff"/>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aff"/>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aff"/>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aff"/>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aff"/>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aff"/>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aff"/>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aff"/>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aff"/>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aff"/>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aff"/>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aff"/>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aff"/>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aff"/>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aff"/>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a4"/>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aff"/>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169" w:name="_Toc109318162"/>
      <w:bookmarkStart w:id="170" w:name="_Toc109375282"/>
      <w:bookmarkStart w:id="171" w:name="_Toc109375306"/>
      <w:bookmarkStart w:id="172" w:name="_Toc109384424"/>
      <w:bookmarkStart w:id="173" w:name="_Toc109384728"/>
      <w:bookmarkStart w:id="174" w:name="_Toc109384752"/>
      <w:bookmarkStart w:id="175" w:name="_Toc109385622"/>
      <w:bookmarkStart w:id="176" w:name="_Toc109385646"/>
      <w:bookmarkStart w:id="177" w:name="_Toc109388541"/>
      <w:bookmarkStart w:id="178" w:name="_Toc109388565"/>
      <w:bookmarkStart w:id="179" w:name="_Toc109388589"/>
      <w:bookmarkStart w:id="180" w:name="_Toc109388613"/>
      <w:bookmarkStart w:id="181" w:name="_Toc110240819"/>
      <w:bookmarkStart w:id="182" w:name="_Toc110240845"/>
      <w:bookmarkStart w:id="183" w:name="_Toc110242980"/>
      <w:bookmarkStart w:id="184" w:name="_Toc110244604"/>
      <w:bookmarkStart w:id="185" w:name="_Toc110244630"/>
      <w:bookmarkStart w:id="186" w:name="_Toc110254580"/>
      <w:bookmarkStart w:id="187" w:name="_Toc110254605"/>
      <w:bookmarkStart w:id="188" w:name="_Toc110845385"/>
      <w:bookmarkStart w:id="189" w:name="_Toc110845410"/>
      <w:bookmarkStart w:id="190" w:name="_Toc110848250"/>
      <w:bookmarkStart w:id="191" w:name="_Toc110848275"/>
      <w:bookmarkStart w:id="192" w:name="_Toc110848586"/>
      <w:bookmarkStart w:id="193" w:name="_Toc110848611"/>
      <w:bookmarkStart w:id="194" w:name="_Toc110850899"/>
      <w:bookmarkStart w:id="195" w:name="_Toc110850924"/>
      <w:bookmarkStart w:id="196" w:name="_Toc110851717"/>
      <w:bookmarkStart w:id="197" w:name="_Toc111103406"/>
      <w:bookmarkStart w:id="198" w:name="_Toc111104313"/>
      <w:bookmarkStart w:id="199" w:name="_Toc111104338"/>
      <w:r w:rsidRPr="002C025B">
        <w:rPr>
          <w:rFonts w:asciiTheme="minorHAnsi" w:eastAsia="宋体" w:hAnsiTheme="minorHAnsi" w:cstheme="minorHAnsi"/>
          <w:b w:val="0"/>
          <w:bCs/>
          <w:i w:val="0"/>
          <w:iCs/>
          <w:sz w:val="22"/>
          <w:szCs w:val="22"/>
        </w:rPr>
        <w:t>uncertainty of the reserved resources indicated in SCI of 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01" w:name="_Toc109318163"/>
      <w:bookmarkStart w:id="202" w:name="_Toc109375283"/>
      <w:bookmarkStart w:id="203" w:name="_Toc109375307"/>
      <w:bookmarkStart w:id="204" w:name="_Toc109384425"/>
      <w:bookmarkStart w:id="205" w:name="_Toc109384729"/>
      <w:bookmarkStart w:id="206" w:name="_Toc109384753"/>
      <w:bookmarkStart w:id="207" w:name="_Toc109385623"/>
      <w:bookmarkStart w:id="208" w:name="_Toc109385647"/>
      <w:bookmarkStart w:id="209" w:name="_Toc109388542"/>
      <w:bookmarkStart w:id="210" w:name="_Toc109388566"/>
      <w:bookmarkStart w:id="211" w:name="_Toc109388590"/>
      <w:bookmarkStart w:id="212" w:name="_Toc109388614"/>
      <w:bookmarkStart w:id="213" w:name="_Toc110240820"/>
      <w:bookmarkStart w:id="214" w:name="_Toc110240846"/>
      <w:bookmarkStart w:id="215" w:name="_Toc110242981"/>
      <w:bookmarkStart w:id="216" w:name="_Toc110244605"/>
      <w:bookmarkStart w:id="217" w:name="_Toc110244631"/>
      <w:bookmarkStart w:id="218" w:name="_Toc110254581"/>
      <w:bookmarkStart w:id="219" w:name="_Toc110254606"/>
      <w:bookmarkStart w:id="220" w:name="_Toc110845386"/>
      <w:bookmarkStart w:id="221" w:name="_Toc110845411"/>
      <w:bookmarkStart w:id="222" w:name="_Toc110848251"/>
      <w:bookmarkStart w:id="223" w:name="_Toc110848276"/>
      <w:bookmarkStart w:id="224" w:name="_Toc110848587"/>
      <w:bookmarkStart w:id="225" w:name="_Toc110848612"/>
      <w:bookmarkStart w:id="226" w:name="_Toc110850900"/>
      <w:bookmarkStart w:id="227" w:name="_Toc110850925"/>
      <w:bookmarkStart w:id="228" w:name="_Toc110851718"/>
      <w:bookmarkStart w:id="229" w:name="_Toc111103407"/>
      <w:bookmarkStart w:id="230" w:name="_Toc111104314"/>
      <w:bookmarkStart w:id="231" w:name="_Toc111104339"/>
      <w:r w:rsidRPr="002C025B">
        <w:rPr>
          <w:rFonts w:asciiTheme="minorHAnsi" w:eastAsia="宋体" w:hAnsiTheme="minorHAnsi" w:cstheme="minorHAnsi"/>
          <w:b w:val="0"/>
          <w:bCs/>
          <w:i w:val="0"/>
          <w:iCs/>
          <w:sz w:val="22"/>
          <w:szCs w:val="22"/>
        </w:rPr>
        <w:t>RSRP threshold used in excluding 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宋体" w:hAnsiTheme="minorHAnsi" w:cstheme="minorHAnsi"/>
          <w:b w:val="0"/>
          <w:bCs/>
          <w:i w:val="0"/>
          <w:iCs/>
          <w:sz w:val="22"/>
          <w:szCs w:val="22"/>
        </w:rPr>
      </w:pPr>
      <w:bookmarkStart w:id="232" w:name="_Toc110240821"/>
      <w:bookmarkStart w:id="233" w:name="_Toc110240847"/>
      <w:bookmarkStart w:id="234" w:name="_Toc110242982"/>
      <w:bookmarkStart w:id="235" w:name="_Toc110244606"/>
      <w:bookmarkStart w:id="236" w:name="_Toc110244632"/>
      <w:bookmarkStart w:id="237" w:name="_Toc110254582"/>
      <w:bookmarkStart w:id="238" w:name="_Toc110254607"/>
      <w:bookmarkStart w:id="239" w:name="_Toc110845387"/>
      <w:bookmarkStart w:id="240" w:name="_Toc110845412"/>
      <w:bookmarkStart w:id="241" w:name="_Toc110848252"/>
      <w:bookmarkStart w:id="242" w:name="_Toc110848277"/>
      <w:bookmarkStart w:id="243" w:name="_Toc110848588"/>
      <w:bookmarkStart w:id="244" w:name="_Toc110848613"/>
      <w:bookmarkStart w:id="245" w:name="_Toc110850901"/>
      <w:bookmarkStart w:id="246" w:name="_Toc110850926"/>
      <w:bookmarkStart w:id="247" w:name="_Toc110851719"/>
      <w:bookmarkStart w:id="248" w:name="_Toc111103408"/>
      <w:bookmarkStart w:id="249" w:name="_Toc111104315"/>
      <w:bookmarkStart w:id="250" w:name="_Toc111104340"/>
      <w:r w:rsidRPr="002C025B">
        <w:rPr>
          <w:rFonts w:asciiTheme="minorHAnsi" w:eastAsia="宋体" w:hAnsiTheme="minorHAnsi" w:cstheme="minorHAnsi"/>
          <w:b w:val="0"/>
          <w:bCs/>
          <w:i w:val="0"/>
          <w:iCs/>
          <w:sz w:val="22"/>
          <w:szCs w:val="22"/>
        </w:rPr>
        <w:t>COT 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B2E9D92" w14:textId="48715FAD" w:rsidR="00F6606C" w:rsidRPr="00F6606C" w:rsidRDefault="001122F9" w:rsidP="004C431E">
      <w:pPr>
        <w:pStyle w:val="aff"/>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aff"/>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aff"/>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aff"/>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aff"/>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aff"/>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1" w:name="OLE_LINK167"/>
      <w:bookmarkStart w:id="252" w:name="OLE_LINK168"/>
      <w:r w:rsidRPr="00737B66">
        <w:rPr>
          <w:rFonts w:asciiTheme="minorHAnsi" w:hAnsiTheme="minorHAnsi" w:cstheme="minorHAnsi"/>
          <w:sz w:val="22"/>
          <w:szCs w:val="22"/>
          <w:lang w:eastAsia="zh-CN"/>
        </w:rPr>
        <w:t>a COT initiator UE can allocate the resources</w:t>
      </w:r>
      <w:bookmarkEnd w:id="251"/>
      <w:bookmarkEnd w:id="252"/>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aff"/>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aff"/>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aff"/>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aff"/>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aff"/>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6B3162">
      <w:pPr>
        <w:pStyle w:val="aff"/>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aff"/>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aff"/>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aff"/>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aff"/>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aff"/>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aff"/>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aff"/>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aff"/>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aff"/>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CE5E56">
      <w:pPr>
        <w:pStyle w:val="aff"/>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aff"/>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aff"/>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aff"/>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aff"/>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aff"/>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aff"/>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000000"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000000"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000000"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000000"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000000"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ZTE, Sanechips</w:t>
      </w:r>
    </w:p>
    <w:p w14:paraId="51A8D09B" w14:textId="6C991EA0" w:rsidR="00E875C1" w:rsidRPr="00D72277" w:rsidRDefault="00000000"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000000"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000000"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000000"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000000"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Channel Access of Sidelink on Unlicensed Spetrum</w:t>
      </w:r>
      <w:r w:rsidR="00E875C1" w:rsidRPr="00D72277">
        <w:tab/>
        <w:t>NEC</w:t>
      </w:r>
    </w:p>
    <w:p w14:paraId="6A072653" w14:textId="37C8EA7B" w:rsidR="00E875C1" w:rsidRPr="00D72277" w:rsidRDefault="00000000"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000000"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000000"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000000"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000000"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000000"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t>InterDigital, Inc.</w:t>
      </w:r>
    </w:p>
    <w:p w14:paraId="48BAE438" w14:textId="56D71B61" w:rsidR="00E875C1" w:rsidRPr="00D72277" w:rsidRDefault="00000000"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t>CableLabs</w:t>
      </w:r>
    </w:p>
    <w:p w14:paraId="44D20E5D" w14:textId="1B7D837D" w:rsidR="00E875C1" w:rsidRPr="00D72277" w:rsidRDefault="00000000"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000000"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000000"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t>Sidelink channel access on unlicensed spectrum</w:t>
      </w:r>
      <w:r w:rsidR="00E875C1" w:rsidRPr="00D72277">
        <w:tab/>
        <w:t>Panasonic</w:t>
      </w:r>
    </w:p>
    <w:p w14:paraId="09D4BF30" w14:textId="7FEC4742" w:rsidR="00E875C1" w:rsidRPr="00D72277" w:rsidRDefault="00000000"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000000"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Discussion on sidelink on unlicensed spectrum</w:t>
      </w:r>
      <w:r w:rsidR="00E875C1" w:rsidRPr="00D72277">
        <w:tab/>
        <w:t>ASUSTeK</w:t>
      </w:r>
    </w:p>
    <w:p w14:paraId="2F5E4EE3" w14:textId="457FFB15" w:rsidR="00E875C1" w:rsidRPr="00D72277" w:rsidRDefault="00000000"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000000"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000000"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000000"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000000"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000000"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866EE8"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000000"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000000"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866EE8"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000000"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866EE8"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866EE8"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866EE8"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000000"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000000"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000000"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aff"/>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aff"/>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aff"/>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aff"/>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aff"/>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aff"/>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aff"/>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aff"/>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aff"/>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3BAE" w14:textId="77777777" w:rsidR="009858A9" w:rsidRDefault="009858A9">
      <w:r>
        <w:separator/>
      </w:r>
    </w:p>
  </w:endnote>
  <w:endnote w:type="continuationSeparator" w:id="0">
    <w:p w14:paraId="76963F10" w14:textId="77777777" w:rsidR="009858A9" w:rsidRDefault="009858A9">
      <w:r>
        <w:continuationSeparator/>
      </w:r>
    </w:p>
  </w:endnote>
  <w:endnote w:type="continuationNotice" w:id="1">
    <w:p w14:paraId="430D2726" w14:textId="77777777" w:rsidR="009858A9" w:rsidRDefault="00985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E521" w14:textId="77777777" w:rsidR="009858A9" w:rsidRDefault="009858A9">
      <w:r>
        <w:separator/>
      </w:r>
    </w:p>
  </w:footnote>
  <w:footnote w:type="continuationSeparator" w:id="0">
    <w:p w14:paraId="316E65FF" w14:textId="77777777" w:rsidR="009858A9" w:rsidRDefault="009858A9">
      <w:r>
        <w:continuationSeparator/>
      </w:r>
    </w:p>
  </w:footnote>
  <w:footnote w:type="continuationNotice" w:id="1">
    <w:p w14:paraId="38594463" w14:textId="77777777" w:rsidR="009858A9" w:rsidRDefault="009858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3159940">
    <w:abstractNumId w:val="3"/>
  </w:num>
  <w:num w:numId="2" w16cid:durableId="1634600388">
    <w:abstractNumId w:val="26"/>
  </w:num>
  <w:num w:numId="3" w16cid:durableId="534655668">
    <w:abstractNumId w:val="43"/>
  </w:num>
  <w:num w:numId="4" w16cid:durableId="829951031">
    <w:abstractNumId w:val="42"/>
  </w:num>
  <w:num w:numId="5" w16cid:durableId="1833179782">
    <w:abstractNumId w:val="38"/>
  </w:num>
  <w:num w:numId="6" w16cid:durableId="1746680632">
    <w:abstractNumId w:val="21"/>
  </w:num>
  <w:num w:numId="7" w16cid:durableId="54161177">
    <w:abstractNumId w:val="9"/>
  </w:num>
  <w:num w:numId="8" w16cid:durableId="1793943070">
    <w:abstractNumId w:val="44"/>
  </w:num>
  <w:num w:numId="9" w16cid:durableId="1166365657">
    <w:abstractNumId w:val="12"/>
  </w:num>
  <w:num w:numId="10" w16cid:durableId="1030226291">
    <w:abstractNumId w:val="39"/>
  </w:num>
  <w:num w:numId="11" w16cid:durableId="83381461">
    <w:abstractNumId w:val="20"/>
  </w:num>
  <w:num w:numId="12" w16cid:durableId="497385465">
    <w:abstractNumId w:val="4"/>
  </w:num>
  <w:num w:numId="13" w16cid:durableId="127861866">
    <w:abstractNumId w:val="14"/>
  </w:num>
  <w:num w:numId="14" w16cid:durableId="1387220847">
    <w:abstractNumId w:val="11"/>
  </w:num>
  <w:num w:numId="15" w16cid:durableId="1944654352">
    <w:abstractNumId w:val="2"/>
  </w:num>
  <w:num w:numId="16" w16cid:durableId="367726812">
    <w:abstractNumId w:val="23"/>
  </w:num>
  <w:num w:numId="17" w16cid:durableId="1247960799">
    <w:abstractNumId w:val="6"/>
  </w:num>
  <w:num w:numId="18" w16cid:durableId="278880310">
    <w:abstractNumId w:val="22"/>
  </w:num>
  <w:num w:numId="19" w16cid:durableId="38363797">
    <w:abstractNumId w:val="8"/>
  </w:num>
  <w:num w:numId="20" w16cid:durableId="1294017078">
    <w:abstractNumId w:val="19"/>
  </w:num>
  <w:num w:numId="21" w16cid:durableId="1514294528">
    <w:abstractNumId w:val="5"/>
  </w:num>
  <w:num w:numId="22" w16cid:durableId="1141313074">
    <w:abstractNumId w:val="17"/>
  </w:num>
  <w:num w:numId="23" w16cid:durableId="1646667373">
    <w:abstractNumId w:val="15"/>
  </w:num>
  <w:num w:numId="24" w16cid:durableId="815026062">
    <w:abstractNumId w:val="18"/>
  </w:num>
  <w:num w:numId="25" w16cid:durableId="1399329965">
    <w:abstractNumId w:val="23"/>
  </w:num>
  <w:num w:numId="26" w16cid:durableId="7293036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3693718">
    <w:abstractNumId w:val="40"/>
  </w:num>
  <w:num w:numId="28" w16cid:durableId="2001153584">
    <w:abstractNumId w:val="31"/>
  </w:num>
  <w:num w:numId="29" w16cid:durableId="133765127">
    <w:abstractNumId w:val="27"/>
  </w:num>
  <w:num w:numId="30" w16cid:durableId="1907569401">
    <w:abstractNumId w:val="23"/>
  </w:num>
  <w:num w:numId="31" w16cid:durableId="1114330621">
    <w:abstractNumId w:val="10"/>
  </w:num>
  <w:num w:numId="32" w16cid:durableId="752699634">
    <w:abstractNumId w:val="29"/>
  </w:num>
  <w:num w:numId="33" w16cid:durableId="220944315">
    <w:abstractNumId w:val="33"/>
  </w:num>
  <w:num w:numId="34" w16cid:durableId="1190680262">
    <w:abstractNumId w:val="28"/>
  </w:num>
  <w:num w:numId="35" w16cid:durableId="691878347">
    <w:abstractNumId w:val="25"/>
  </w:num>
  <w:num w:numId="36" w16cid:durableId="863060917">
    <w:abstractNumId w:val="41"/>
  </w:num>
  <w:num w:numId="37" w16cid:durableId="612978508">
    <w:abstractNumId w:val="32"/>
  </w:num>
  <w:num w:numId="38" w16cid:durableId="838350196">
    <w:abstractNumId w:val="35"/>
  </w:num>
  <w:num w:numId="39" w16cid:durableId="1462115533">
    <w:abstractNumId w:val="30"/>
  </w:num>
  <w:num w:numId="40" w16cid:durableId="144906094">
    <w:abstractNumId w:val="34"/>
  </w:num>
  <w:num w:numId="41" w16cid:durableId="2060131186">
    <w:abstractNumId w:val="16"/>
  </w:num>
  <w:num w:numId="42" w16cid:durableId="675108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8520300">
    <w:abstractNumId w:val="36"/>
  </w:num>
  <w:num w:numId="44" w16cid:durableId="1333099222">
    <w:abstractNumId w:val="37"/>
  </w:num>
  <w:num w:numId="45" w16cid:durableId="75981858">
    <w:abstractNumId w:val="7"/>
  </w:num>
  <w:num w:numId="46" w16cid:durableId="335964694">
    <w:abstractNumId w:val="24"/>
  </w:num>
  <w:num w:numId="47" w16cid:durableId="187098861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목록 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D0AD9394-5A52-4DAF-A775-33A5DB8DB672}">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33</TotalTime>
  <Pages>43</Pages>
  <Words>19044</Words>
  <Characters>108556</Characters>
  <Application>Microsoft Office Word</Application>
  <DocSecurity>0</DocSecurity>
  <Lines>904</Lines>
  <Paragraphs>254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127346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Zhang, Jian/张 健</cp:lastModifiedBy>
  <cp:revision>9</cp:revision>
  <cp:lastPrinted>2021-09-11T03:34:00Z</cp:lastPrinted>
  <dcterms:created xsi:type="dcterms:W3CDTF">2022-08-22T02:48:00Z</dcterms:created>
  <dcterms:modified xsi:type="dcterms:W3CDTF">2022-08-22T04:07:00Z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