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9D657E"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9D657E"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47F0C370" w:rsidR="00DB2AD6" w:rsidRDefault="00DB2AD6" w:rsidP="007D0719">
            <w:pPr>
              <w:rPr>
                <w:rFonts w:eastAsia="宋体"/>
                <w:lang w:eastAsia="zh-C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047AEC" w:rsidRPr="00076676" w14:paraId="1D20F3E2" w14:textId="77777777" w:rsidTr="007D0719">
        <w:trPr>
          <w:trHeight w:val="333"/>
        </w:trPr>
        <w:tc>
          <w:tcPr>
            <w:tcW w:w="743" w:type="pct"/>
          </w:tcPr>
          <w:p w14:paraId="24F1B25B" w14:textId="62AF28C1" w:rsidR="00047AEC" w:rsidRPr="006B2148" w:rsidRDefault="00047AEC" w:rsidP="00047AEC">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675403C1" w14:textId="24D082D4" w:rsidR="00047AEC" w:rsidRPr="006B2148" w:rsidRDefault="00047AEC" w:rsidP="00047AEC">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 xml:space="preserve">The UE trajectory should be sampled at least at the minimum decorrelation distance of the large-scale parameters </w:t>
      </w:r>
      <w:r>
        <w:rPr>
          <w:sz w:val="18"/>
          <w:szCs w:val="18"/>
        </w:rPr>
        <w:lastRenderedPageBreak/>
        <w:t>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 xml:space="preserve">We agree with FL that there is no need to down select to one option. Besides, we prefer Option #4 </w:t>
            </w:r>
            <w:r>
              <w:rPr>
                <w:rFonts w:eastAsia="宋体" w:hint="eastAsia"/>
                <w:kern w:val="0"/>
              </w:rPr>
              <w:lastRenderedPageBreak/>
              <w:t>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lastRenderedPageBreak/>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3B74B87D" w:rsidR="00DB2AD6" w:rsidRPr="00F03EBC" w:rsidRDefault="00047AEC" w:rsidP="007D0719">
            <w:pPr>
              <w:rPr>
                <w:rFonts w:eastAsiaTheme="minorEastAsia"/>
                <w:lang w:eastAsia="zh-CN"/>
              </w:rPr>
            </w:pPr>
            <w:r>
              <w:rPr>
                <w:rFonts w:eastAsiaTheme="minorEastAsia" w:hint="eastAsia"/>
                <w:lang w:eastAsia="zh-CN"/>
              </w:rPr>
              <w:t>D</w:t>
            </w:r>
            <w:r>
              <w:rPr>
                <w:rFonts w:eastAsiaTheme="minorEastAsia"/>
                <w:lang w:eastAsia="zh-CN"/>
              </w:rPr>
              <w:t>CM</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lastRenderedPageBreak/>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77777777" w:rsidR="0049339D" w:rsidRDefault="0049339D" w:rsidP="007D0719">
            <w:pPr>
              <w:rPr>
                <w:rFonts w:asciiTheme="minorEastAsia" w:hAnsiTheme="minorEastAsia"/>
                <w:smallCaps/>
                <w:kern w:val="0"/>
              </w:rPr>
            </w:pPr>
          </w:p>
        </w:tc>
        <w:tc>
          <w:tcPr>
            <w:tcW w:w="4384" w:type="pct"/>
          </w:tcPr>
          <w:p w14:paraId="1E715042" w14:textId="77777777" w:rsidR="0049339D" w:rsidRDefault="0049339D" w:rsidP="007D0719">
            <w:pPr>
              <w:rPr>
                <w:kern w:val="0"/>
              </w:rPr>
            </w:pP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Microsoft YaHei"/>
          <w:sz w:val="18"/>
          <w:szCs w:val="18"/>
          <w:lang w:val="en-GB"/>
        </w:rPr>
      </w:pPr>
      <w:r>
        <w:rPr>
          <w:rFonts w:eastAsia="Microsoft YaHei"/>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Microsoft YaHei"/>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Microsoft YaHei"/>
          <w:sz w:val="18"/>
          <w:szCs w:val="18"/>
          <w:lang w:val="en-GB"/>
        </w:rPr>
      </w:pPr>
      <w:r>
        <w:rPr>
          <w:rFonts w:eastAsia="宋体"/>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9D657E">
      <w:pPr>
        <w:pStyle w:val="af9"/>
        <w:numPr>
          <w:ilvl w:val="2"/>
          <w:numId w:val="30"/>
        </w:numPr>
        <w:rPr>
          <w:rFonts w:eastAsia="Microsoft YaHei"/>
          <w:sz w:val="16"/>
          <w:szCs w:val="16"/>
          <w:lang w:val="en-GB"/>
        </w:rPr>
      </w:pPr>
      <w:r>
        <w:rPr>
          <w:noProof/>
          <w:position w:val="-28"/>
          <w:sz w:val="16"/>
        </w:rPr>
      </w:r>
      <w:r w:rsidR="009D657E">
        <w:rPr>
          <w:noProof/>
          <w:position w:val="-28"/>
          <w:sz w:val="16"/>
        </w:rPr>
        <w:object w:dxaOrig="3224" w:dyaOrig="531" w14:anchorId="20F19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5pt;height:25.35pt;mso-width-percent:0;mso-height-percent:0;mso-width-percent:0;mso-height-percent:0" o:ole="">
            <v:imagedata r:id="rId17" o:title=""/>
          </v:shape>
          <o:OLEObject Type="Embed" ProgID="Equation.DSMT4" ShapeID="_x0000_i1025" DrawAspect="Content" ObjectID="_1722929131" r:id="rId18"/>
        </w:object>
      </w:r>
      <w:r>
        <w:rPr>
          <w:noProof/>
          <w:position w:val="-28"/>
          <w:sz w:val="16"/>
        </w:rPr>
      </w:r>
      <w:r w:rsidR="009D657E">
        <w:rPr>
          <w:noProof/>
          <w:position w:val="-28"/>
          <w:sz w:val="16"/>
        </w:rPr>
        <w:object w:dxaOrig="1866" w:dyaOrig="531" w14:anchorId="666E8DE3">
          <v:shape id="_x0000_i1026" type="#_x0000_t75" alt="" style="width:93.9pt;height:25.35pt;mso-width-percent:0;mso-height-percent:0;mso-width-percent:0;mso-height-percent:0" o:ole="">
            <v:imagedata r:id="rId19" o:title=""/>
          </v:shape>
          <o:OLEObject Type="Embed" ProgID="Equation.DSMT4" ShapeID="_x0000_i1026" DrawAspect="Content" ObjectID="_1722929132" r:id="rId20"/>
        </w:object>
      </w:r>
    </w:p>
    <w:p w14:paraId="173C4465" w14:textId="77777777" w:rsidR="00F528DC" w:rsidRDefault="00CC5F6F">
      <w:pPr>
        <w:pStyle w:val="af9"/>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Microsoft YaHei"/>
          <w:sz w:val="18"/>
          <w:szCs w:val="18"/>
          <w:lang w:val="en-GB"/>
        </w:rPr>
      </w:pPr>
      <w:r>
        <w:rPr>
          <w:rFonts w:eastAsia="Microsoft YaHei"/>
          <w:sz w:val="18"/>
          <w:szCs w:val="18"/>
          <w:lang w:val="en-GB"/>
        </w:rPr>
        <w:t xml:space="preserve">Samsung [17]: There are 4 beams in the vertical direction with 6-degree step, and 8 beams in the horizontal direction </w:t>
      </w:r>
      <w:r>
        <w:rPr>
          <w:rFonts w:eastAsia="Microsoft YaHei"/>
          <w:sz w:val="18"/>
          <w:szCs w:val="18"/>
          <w:lang w:val="en-GB"/>
        </w:rPr>
        <w:lastRenderedPageBreak/>
        <w:t>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Microsoft YaHei"/>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lastRenderedPageBreak/>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lastRenderedPageBreak/>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w:t>
            </w:r>
            <w:r w:rsidRPr="008A0D47">
              <w:rPr>
                <w:rFonts w:eastAsia="MS Mincho"/>
                <w:kern w:val="0"/>
                <w:lang w:eastAsia="ja-JP"/>
              </w:rPr>
              <w:lastRenderedPageBreak/>
              <w:t>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lastRenderedPageBreak/>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 xml:space="preserve">Observation 2: For BM-Case1, a “sparse” Set B, or a random Set B pattern design, may cause throughput loss, </w:t>
      </w:r>
      <w:r>
        <w:rPr>
          <w:sz w:val="18"/>
          <w:szCs w:val="18"/>
          <w:lang w:eastAsia="en-US"/>
        </w:rPr>
        <w:lastRenderedPageBreak/>
        <w:t>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 xml:space="preserve">For example, in our evaluation result [22], we observed that by using the multi-arm beam design in Set B, the AI/ML model can perform better </w:t>
            </w:r>
            <w:r>
              <w:rPr>
                <w:rFonts w:eastAsia="PMingLiU"/>
                <w:lang w:eastAsia="zh-TW"/>
              </w:rPr>
              <w:lastRenderedPageBreak/>
              <w:t>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lastRenderedPageBreak/>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lastRenderedPageBreak/>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w:t>
      </w:r>
      <w:r>
        <w:rPr>
          <w:b/>
          <w:bCs/>
        </w:rPr>
        <w:lastRenderedPageBreak/>
        <w:t xml:space="preserve">(pairs)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9D657E">
              <w:rPr>
                <w:smallCaps/>
                <w:color w:val="000000" w:themeColor="text1"/>
              </w:rPr>
              <w:t>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lastRenderedPageBreak/>
        <w:t>Align the assumption on SSB/CSI-RS patterns in time domain at least for temporal beam prediction.</w:t>
      </w:r>
      <w:bookmarkEnd w:id="13"/>
    </w:p>
    <w:p w14:paraId="173C454A" w14:textId="77777777" w:rsidR="00F528DC" w:rsidRDefault="00CC5F6F">
      <w:pPr>
        <w:pStyle w:val="af9"/>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5"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9EA86BD"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17"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9"/>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lastRenderedPageBreak/>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af9"/>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lastRenderedPageBreak/>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w:t>
            </w:r>
            <w:r w:rsidRPr="00F304D5">
              <w:rPr>
                <w:rFonts w:eastAsia="MS Mincho"/>
                <w:kern w:val="0"/>
                <w:lang w:val="en-GB" w:eastAsia="ja-JP"/>
              </w:rPr>
              <w:lastRenderedPageBreak/>
              <w:t>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r w:rsidRPr="00B96655">
              <w:rPr>
                <w:rFonts w:eastAsiaTheme="minorEastAsia"/>
                <w:kern w:val="0"/>
              </w:rPr>
              <w:lastRenderedPageBreak/>
              <w:t>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w:t>
            </w:r>
            <w:r w:rsidRPr="00B96655">
              <w:rPr>
                <w:rFonts w:eastAsiaTheme="minorEastAsia"/>
                <w:kern w:val="0"/>
              </w:rPr>
              <w:lastRenderedPageBreak/>
              <w:t>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lastRenderedPageBreak/>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lastRenderedPageBreak/>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8344B6C" w:rsidR="007861E9" w:rsidRPr="00F03EBC" w:rsidRDefault="00B70FE8" w:rsidP="007D0719">
            <w:pPr>
              <w:rPr>
                <w:rFonts w:eastAsiaTheme="minorEastAsia"/>
                <w:lang w:eastAsia="zh-CN"/>
              </w:rPr>
            </w:pPr>
            <w:r>
              <w:rPr>
                <w:rFonts w:eastAsiaTheme="minorEastAsia" w:hint="eastAsia"/>
                <w:lang w:eastAsia="zh-CN"/>
              </w:rPr>
              <w:t>CATT</w:t>
            </w:r>
            <w:r w:rsidR="00933298">
              <w:rPr>
                <w:rFonts w:eastAsiaTheme="minorEastAsia"/>
                <w:lang w:eastAsia="zh-CN"/>
              </w:rPr>
              <w:t>, DCM</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lastRenderedPageBreak/>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lastRenderedPageBreak/>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w:t>
            </w:r>
            <w:r>
              <w:lastRenderedPageBreak/>
              <w:t xml:space="preserve">is within 1dB of the ideal L1-RSRP of the Top-1 genie-aided beam” </w:t>
            </w:r>
          </w:p>
        </w:tc>
        <w:tc>
          <w:tcPr>
            <w:tcW w:w="2631" w:type="dxa"/>
          </w:tcPr>
          <w:p w14:paraId="173C4695" w14:textId="77777777" w:rsidR="00F528DC" w:rsidRDefault="00CC5F6F">
            <w:r>
              <w:lastRenderedPageBreak/>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af9"/>
        <w:numPr>
          <w:ilvl w:val="0"/>
          <w:numId w:val="40"/>
        </w:numPr>
      </w:pPr>
      <w:bookmarkStart w:id="23" w:name="_Ref111192963"/>
      <w:r>
        <w:t>Huawei [2]</w:t>
      </w:r>
    </w:p>
    <w:p w14:paraId="173C46A5" w14:textId="77777777" w:rsidR="00F528DC" w:rsidRDefault="00CC5F6F">
      <w:pPr>
        <w:pStyle w:val="af9"/>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af9"/>
        <w:numPr>
          <w:ilvl w:val="1"/>
          <w:numId w:val="40"/>
        </w:numPr>
      </w:pPr>
      <w:bookmarkStart w:id="24" w:name="_Ref111193022"/>
      <w:r>
        <w:t xml:space="preserve">Proposal </w:t>
      </w:r>
      <w:fldSimple w:instr=" SEQ Proposal \* ARABIC ">
        <w:r>
          <w:t>14</w:t>
        </w:r>
      </w:fldSimple>
      <w:r>
        <w:t>: For temporal beam prediction evaluation, results for Top-K, K&gt;1 should be presented in addition to Top-1 results.</w:t>
      </w:r>
      <w:bookmarkEnd w:id="24"/>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 xml:space="preserve">the difference between the highest ideal L1-RSRP of the Top-K predicted beam and the ideal </w:t>
      </w:r>
      <w:r>
        <w:lastRenderedPageBreak/>
        <w:t>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lastRenderedPageBreak/>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w:t>
            </w:r>
            <w:r>
              <w:rPr>
                <w:rFonts w:eastAsiaTheme="minorEastAsia" w:hint="eastAsia"/>
                <w:lang w:eastAsia="zh-CN"/>
              </w:rPr>
              <w:lastRenderedPageBreak/>
              <w:t xml:space="preserve">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7440B5" w14:paraId="624148CA" w14:textId="77777777" w:rsidTr="007D0719">
        <w:trPr>
          <w:trHeight w:val="333"/>
        </w:trPr>
        <w:tc>
          <w:tcPr>
            <w:tcW w:w="616" w:type="pct"/>
          </w:tcPr>
          <w:p w14:paraId="591C03FC" w14:textId="74FA662F" w:rsidR="007440B5" w:rsidRDefault="007440B5" w:rsidP="007440B5">
            <w:pPr>
              <w:rPr>
                <w:kern w:val="0"/>
              </w:rPr>
            </w:pPr>
            <w:r>
              <w:rPr>
                <w:rFonts w:eastAsia="MS Mincho" w:hint="eastAsia"/>
                <w:kern w:val="0"/>
                <w:lang w:eastAsia="ja-JP"/>
              </w:rPr>
              <w:lastRenderedPageBreak/>
              <w:t>N</w:t>
            </w:r>
            <w:r>
              <w:rPr>
                <w:rFonts w:eastAsia="MS Mincho"/>
                <w:kern w:val="0"/>
                <w:lang w:eastAsia="ja-JP"/>
              </w:rPr>
              <w:t>TT DOCOMO</w:t>
            </w:r>
          </w:p>
        </w:tc>
        <w:tc>
          <w:tcPr>
            <w:tcW w:w="4384" w:type="pct"/>
          </w:tcPr>
          <w:p w14:paraId="601F0873" w14:textId="77777777" w:rsidR="007440B5" w:rsidRDefault="007440B5" w:rsidP="007440B5">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22D1B609" w14:textId="2193FBBF" w:rsidR="007440B5" w:rsidRDefault="007440B5" w:rsidP="007440B5">
            <w:pPr>
              <w:keepNext/>
            </w:pPr>
            <w:r>
              <w:rPr>
                <w:rFonts w:eastAsia="MS Mincho"/>
                <w:lang w:eastAsia="ja-JP"/>
              </w:rPr>
              <w:t>For Option 5, P2 should be clarified, because it is unclear.</w:t>
            </w:r>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lastRenderedPageBreak/>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lastRenderedPageBreak/>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27" w:name="_Toc101462020"/>
      <w:bookmarkStart w:id="28" w:name="_Toc101462246"/>
      <w:bookmarkStart w:id="29" w:name="_Toc101462385"/>
      <w:bookmarkStart w:id="30" w:name="_Toc102079222"/>
      <w:bookmarkStart w:id="31" w:name="_Toc101462364"/>
      <w:bookmarkStart w:id="32" w:name="_Toc102043799"/>
      <w:bookmarkStart w:id="33" w:name="_Toc102030984"/>
      <w:bookmarkStart w:id="34" w:name="_Toc102031785"/>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 xml:space="preserve">Proposal 5: Study and evaluate other forms of ML models with respect to their prediction performance and </w:t>
      </w:r>
      <w:r>
        <w:rPr>
          <w:sz w:val="18"/>
          <w:szCs w:val="18"/>
          <w:lang w:eastAsia="en-US"/>
        </w:rPr>
        <w:lastRenderedPageBreak/>
        <w:t>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6"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6"/>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7"/>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8"/>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lastRenderedPageBreak/>
              <w:t>NN A: ~64000 FLOPs</w:t>
            </w:r>
          </w:p>
        </w:tc>
      </w:tr>
    </w:tbl>
    <w:p w14:paraId="173C47D9" w14:textId="77777777" w:rsidR="00F528DC" w:rsidRDefault="00CC5F6F">
      <w:pPr>
        <w:rPr>
          <w:lang w:eastAsia="en-US"/>
        </w:rPr>
      </w:pPr>
      <w:r>
        <w:rPr>
          <w:lang w:eastAsia="ko-KR"/>
        </w:rPr>
        <w:lastRenderedPageBreak/>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r w:rsidR="004F23E8">
              <w:rPr>
                <w:rFonts w:eastAsia="宋体"/>
                <w:lang w:eastAsia="zh-CN"/>
              </w:rPr>
              <w:t>Fujitsu</w:t>
            </w:r>
            <w:r w:rsidR="00067775">
              <w:rPr>
                <w:rFonts w:eastAsia="宋体"/>
                <w:lang w:eastAsia="zh-CN"/>
              </w:rPr>
              <w:t>,CMCC</w:t>
            </w:r>
            <w:proofErr w:type="spell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lastRenderedPageBreak/>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 xml:space="preserve">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w:t>
      </w:r>
      <w:r>
        <w:rPr>
          <w:sz w:val="18"/>
          <w:szCs w:val="18"/>
        </w:rPr>
        <w:lastRenderedPageBreak/>
        <w:t>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 xml:space="preserve">AI/ML-based Top-5 prediction reaches almost the upper performance bound with a prediction accuracy of 94.95% but with an overhead reduction of 67.17%. On the other hand, for the same overhead reduction, the established </w:t>
      </w:r>
      <w:r>
        <w:rPr>
          <w:sz w:val="18"/>
          <w:szCs w:val="18"/>
          <w:lang w:eastAsia="en-US"/>
        </w:rPr>
        <w:lastRenderedPageBreak/>
        <w:t>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lastRenderedPageBreak/>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lastRenderedPageBreak/>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xml:space="preserve">: For temporal beam prediction, lower spatial consistency has more impact on the prediction accuracy achieved </w:t>
      </w:r>
      <w:r>
        <w:rPr>
          <w:sz w:val="18"/>
          <w:szCs w:val="18"/>
          <w:lang w:eastAsia="en-US"/>
        </w:rPr>
        <w:lastRenderedPageBreak/>
        <w:t>by the legacy approach than on accuracy achieved by the AI/ML-based methods. This can be seen from the results when different time durations are evaluated.</w:t>
      </w:r>
      <w:bookmarkEnd w:id="41"/>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lastRenderedPageBreak/>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B1D0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B1D04">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B1D04">
            <w:pPr>
              <w:rPr>
                <w:rFonts w:eastAsia="Microsoft YaHei UI"/>
                <w:color w:val="000000"/>
              </w:rPr>
            </w:pPr>
            <w:r w:rsidRPr="00D16984">
              <w:rPr>
                <w:rFonts w:eastAsia="Microsoft YaHei UI"/>
                <w:b/>
                <w:bCs/>
                <w:color w:val="000000"/>
              </w:rPr>
              <w:t>Values</w:t>
            </w:r>
          </w:p>
        </w:tc>
      </w:tr>
      <w:tr w:rsidR="00112D43" w:rsidRPr="00D16984" w14:paraId="1931DA18"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B1D04">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B1D04">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lastRenderedPageBreak/>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9D657E">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9D657E">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9D657E">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lastRenderedPageBreak/>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Other simulation </w:t>
            </w:r>
            <w:r>
              <w:rPr>
                <w:rFonts w:ascii="Arial" w:eastAsia="Microsoft YaHei UI" w:hAnsi="Arial" w:cs="Arial"/>
                <w:b/>
                <w:bCs/>
                <w:color w:val="000000"/>
                <w:sz w:val="16"/>
                <w:szCs w:val="16"/>
              </w:rPr>
              <w:lastRenderedPageBreak/>
              <w:t>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9D657E">
      <w:pPr>
        <w:jc w:val="center"/>
      </w:pPr>
      <w:r>
        <w:rPr>
          <w:noProof/>
        </w:rPr>
      </w:r>
      <w:r w:rsidR="009D657E">
        <w:rPr>
          <w:noProof/>
        </w:rPr>
        <w:object w:dxaOrig="2719" w:dyaOrig="2314" w14:anchorId="11400152">
          <v:shape id="_x0000_i1027" type="#_x0000_t75" alt="" style="width:135.95pt;height:116.35pt;mso-width-percent:0;mso-height-percent:0;mso-width-percent:0;mso-height-percent:0" o:ole="">
            <v:imagedata r:id="rId50" o:title=""/>
          </v:shape>
          <o:OLEObject Type="Embed" ProgID="Visio.Drawing.15" ShapeID="_x0000_i1027" DrawAspect="Content" ObjectID="_1722929133"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lastRenderedPageBreak/>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64F0" w14:textId="77777777" w:rsidR="00AE6E2A" w:rsidRDefault="00AE6E2A" w:rsidP="006A624C">
      <w:r>
        <w:separator/>
      </w:r>
    </w:p>
  </w:endnote>
  <w:endnote w:type="continuationSeparator" w:id="0">
    <w:p w14:paraId="5174C774" w14:textId="77777777" w:rsidR="00AE6E2A" w:rsidRDefault="00AE6E2A"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0000500000000020000"/>
    <w:charset w:val="00"/>
    <w:family w:val="auto"/>
    <w:pitch w:val="variable"/>
    <w:sig w:usb0="E00002FF" w:usb1="5000205A" w:usb2="00000000" w:usb3="00000000" w:csb0="0000019F" w:csb1="00000000"/>
  </w:font>
  <w:font w:name="微软雅黑 Light">
    <w:panose1 w:val="020B0502040204020203"/>
    <w:charset w:val="86"/>
    <w:family w:val="swiss"/>
    <w:pitch w:val="variable"/>
    <w:sig w:usb0="A00002BF" w:usb1="28CF0010"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8C5A" w14:textId="77777777" w:rsidR="00AE6E2A" w:rsidRDefault="00AE6E2A" w:rsidP="006A624C">
      <w:r>
        <w:separator/>
      </w:r>
    </w:p>
  </w:footnote>
  <w:footnote w:type="continuationSeparator" w:id="0">
    <w:p w14:paraId="1519ADDD" w14:textId="77777777" w:rsidR="00AE6E2A" w:rsidRDefault="00AE6E2A"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1912681">
    <w:abstractNumId w:val="4"/>
  </w:num>
  <w:num w:numId="2" w16cid:durableId="1122530705">
    <w:abstractNumId w:val="33"/>
  </w:num>
  <w:num w:numId="3" w16cid:durableId="1947813087">
    <w:abstractNumId w:val="0"/>
  </w:num>
  <w:num w:numId="4" w16cid:durableId="1274362020">
    <w:abstractNumId w:val="46"/>
  </w:num>
  <w:num w:numId="5" w16cid:durableId="455569384">
    <w:abstractNumId w:val="22"/>
  </w:num>
  <w:num w:numId="6" w16cid:durableId="815495731">
    <w:abstractNumId w:val="54"/>
  </w:num>
  <w:num w:numId="7" w16cid:durableId="1970935778">
    <w:abstractNumId w:val="47"/>
  </w:num>
  <w:num w:numId="8" w16cid:durableId="4594173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674744">
    <w:abstractNumId w:val="52"/>
    <w:lvlOverride w:ilvl="0">
      <w:startOverride w:val="1"/>
    </w:lvlOverride>
  </w:num>
  <w:num w:numId="10" w16cid:durableId="532310746">
    <w:abstractNumId w:val="36"/>
  </w:num>
  <w:num w:numId="11" w16cid:durableId="819887071">
    <w:abstractNumId w:val="60"/>
  </w:num>
  <w:num w:numId="12" w16cid:durableId="622224379">
    <w:abstractNumId w:val="68"/>
  </w:num>
  <w:num w:numId="13" w16cid:durableId="266697257">
    <w:abstractNumId w:val="25"/>
  </w:num>
  <w:num w:numId="14" w16cid:durableId="304239125">
    <w:abstractNumId w:val="69"/>
  </w:num>
  <w:num w:numId="15" w16cid:durableId="1686858560">
    <w:abstractNumId w:val="43"/>
  </w:num>
  <w:num w:numId="16" w16cid:durableId="1798990956">
    <w:abstractNumId w:val="20"/>
  </w:num>
  <w:num w:numId="17" w16cid:durableId="1360163779">
    <w:abstractNumId w:val="71"/>
  </w:num>
  <w:num w:numId="18" w16cid:durableId="1707952185">
    <w:abstractNumId w:val="30"/>
  </w:num>
  <w:num w:numId="19" w16cid:durableId="539393958">
    <w:abstractNumId w:val="19"/>
  </w:num>
  <w:num w:numId="20" w16cid:durableId="1181626020">
    <w:abstractNumId w:val="56"/>
  </w:num>
  <w:num w:numId="21" w16cid:durableId="966661291">
    <w:abstractNumId w:val="80"/>
  </w:num>
  <w:num w:numId="22" w16cid:durableId="326709033">
    <w:abstractNumId w:val="74"/>
  </w:num>
  <w:num w:numId="23" w16cid:durableId="232393073">
    <w:abstractNumId w:val="12"/>
  </w:num>
  <w:num w:numId="24" w16cid:durableId="91586483">
    <w:abstractNumId w:val="23"/>
  </w:num>
  <w:num w:numId="25" w16cid:durableId="504512255">
    <w:abstractNumId w:val="81"/>
  </w:num>
  <w:num w:numId="26" w16cid:durableId="377051751">
    <w:abstractNumId w:val="16"/>
  </w:num>
  <w:num w:numId="27" w16cid:durableId="1963069373">
    <w:abstractNumId w:val="1"/>
  </w:num>
  <w:num w:numId="28" w16cid:durableId="551231171">
    <w:abstractNumId w:val="75"/>
  </w:num>
  <w:num w:numId="29" w16cid:durableId="1993098444">
    <w:abstractNumId w:val="45"/>
  </w:num>
  <w:num w:numId="30" w16cid:durableId="1220020122">
    <w:abstractNumId w:val="7"/>
  </w:num>
  <w:num w:numId="31" w16cid:durableId="177356391">
    <w:abstractNumId w:val="42"/>
  </w:num>
  <w:num w:numId="32" w16cid:durableId="1245384843">
    <w:abstractNumId w:val="40"/>
  </w:num>
  <w:num w:numId="33" w16cid:durableId="635188432">
    <w:abstractNumId w:val="63"/>
  </w:num>
  <w:num w:numId="34" w16cid:durableId="477771227">
    <w:abstractNumId w:val="11"/>
  </w:num>
  <w:num w:numId="35" w16cid:durableId="736585722">
    <w:abstractNumId w:val="32"/>
  </w:num>
  <w:num w:numId="36" w16cid:durableId="1351224457">
    <w:abstractNumId w:val="49"/>
  </w:num>
  <w:num w:numId="37" w16cid:durableId="1718625998">
    <w:abstractNumId w:val="50"/>
  </w:num>
  <w:num w:numId="38" w16cid:durableId="1237126774">
    <w:abstractNumId w:val="67"/>
  </w:num>
  <w:num w:numId="39" w16cid:durableId="736972081">
    <w:abstractNumId w:val="38"/>
  </w:num>
  <w:num w:numId="40" w16cid:durableId="2126656649">
    <w:abstractNumId w:val="70"/>
  </w:num>
  <w:num w:numId="41" w16cid:durableId="1239752447">
    <w:abstractNumId w:val="64"/>
  </w:num>
  <w:num w:numId="42" w16cid:durableId="452865419">
    <w:abstractNumId w:val="35"/>
  </w:num>
  <w:num w:numId="43" w16cid:durableId="1837577588">
    <w:abstractNumId w:val="29"/>
  </w:num>
  <w:num w:numId="44" w16cid:durableId="1879462662">
    <w:abstractNumId w:val="79"/>
  </w:num>
  <w:num w:numId="45" w16cid:durableId="1266573422">
    <w:abstractNumId w:val="44"/>
  </w:num>
  <w:num w:numId="46" w16cid:durableId="1116367723">
    <w:abstractNumId w:val="6"/>
  </w:num>
  <w:num w:numId="47" w16cid:durableId="2022703130">
    <w:abstractNumId w:val="78"/>
  </w:num>
  <w:num w:numId="48" w16cid:durableId="76948689">
    <w:abstractNumId w:val="28"/>
  </w:num>
  <w:num w:numId="49" w16cid:durableId="1684434960">
    <w:abstractNumId w:val="55"/>
  </w:num>
  <w:num w:numId="50" w16cid:durableId="1912545677">
    <w:abstractNumId w:val="15"/>
  </w:num>
  <w:num w:numId="51" w16cid:durableId="1598829401">
    <w:abstractNumId w:val="37"/>
  </w:num>
  <w:num w:numId="52" w16cid:durableId="1172647130">
    <w:abstractNumId w:val="27"/>
  </w:num>
  <w:num w:numId="53" w16cid:durableId="538132032">
    <w:abstractNumId w:val="48"/>
  </w:num>
  <w:num w:numId="54" w16cid:durableId="2105413584">
    <w:abstractNumId w:val="34"/>
  </w:num>
  <w:num w:numId="55" w16cid:durableId="2097899901">
    <w:abstractNumId w:val="14"/>
  </w:num>
  <w:num w:numId="56" w16cid:durableId="1668633734">
    <w:abstractNumId w:val="24"/>
  </w:num>
  <w:num w:numId="57" w16cid:durableId="1370298512">
    <w:abstractNumId w:val="59"/>
  </w:num>
  <w:num w:numId="58" w16cid:durableId="635179169">
    <w:abstractNumId w:val="51"/>
  </w:num>
  <w:num w:numId="59" w16cid:durableId="442306754">
    <w:abstractNumId w:val="72"/>
  </w:num>
  <w:num w:numId="60" w16cid:durableId="1754351662">
    <w:abstractNumId w:val="65"/>
  </w:num>
  <w:num w:numId="61" w16cid:durableId="525144054">
    <w:abstractNumId w:val="73"/>
  </w:num>
  <w:num w:numId="62" w16cid:durableId="1822189741">
    <w:abstractNumId w:val="26"/>
  </w:num>
  <w:num w:numId="63" w16cid:durableId="934821465">
    <w:abstractNumId w:val="5"/>
  </w:num>
  <w:num w:numId="64" w16cid:durableId="476385562">
    <w:abstractNumId w:val="41"/>
  </w:num>
  <w:num w:numId="65" w16cid:durableId="1892424591">
    <w:abstractNumId w:val="53"/>
  </w:num>
  <w:num w:numId="66" w16cid:durableId="603342994">
    <w:abstractNumId w:val="39"/>
  </w:num>
  <w:num w:numId="67" w16cid:durableId="751052103">
    <w:abstractNumId w:val="17"/>
  </w:num>
  <w:num w:numId="68" w16cid:durableId="820000635">
    <w:abstractNumId w:val="31"/>
  </w:num>
  <w:num w:numId="69" w16cid:durableId="1455825872">
    <w:abstractNumId w:val="18"/>
  </w:num>
  <w:num w:numId="70" w16cid:durableId="313879886">
    <w:abstractNumId w:val="8"/>
  </w:num>
  <w:num w:numId="71" w16cid:durableId="883643077">
    <w:abstractNumId w:val="3"/>
  </w:num>
  <w:num w:numId="72" w16cid:durableId="1763187842">
    <w:abstractNumId w:val="9"/>
  </w:num>
  <w:num w:numId="73" w16cid:durableId="1450658083">
    <w:abstractNumId w:val="21"/>
  </w:num>
  <w:num w:numId="74" w16cid:durableId="202643212">
    <w:abstractNumId w:val="13"/>
  </w:num>
  <w:num w:numId="75" w16cid:durableId="687565240">
    <w:abstractNumId w:val="76"/>
  </w:num>
  <w:num w:numId="76" w16cid:durableId="1560826530">
    <w:abstractNumId w:val="61"/>
  </w:num>
  <w:num w:numId="77" w16cid:durableId="1821455803">
    <w:abstractNumId w:val="66"/>
  </w:num>
  <w:num w:numId="78" w16cid:durableId="877862778">
    <w:abstractNumId w:val="10"/>
  </w:num>
  <w:num w:numId="79" w16cid:durableId="762846923">
    <w:abstractNumId w:val="58"/>
  </w:num>
  <w:num w:numId="80" w16cid:durableId="832528405">
    <w:abstractNumId w:val="2"/>
  </w:num>
  <w:num w:numId="81" w16cid:durableId="1079672041">
    <w:abstractNumId w:val="77"/>
  </w:num>
  <w:num w:numId="82" w16cid:durableId="677074014">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47AE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18F"/>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40B5"/>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3298"/>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7E"/>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paragraph" w:styleId="afd">
    <w:name w:val="Revision"/>
    <w:hidden/>
    <w:uiPriority w:val="99"/>
    <w:semiHidden/>
    <w:rsid w:val="00047AEC"/>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2683F71-A439-4E6A-861E-6D591724B916}">
  <ds:schemaRefs>
    <ds:schemaRef ds:uri="http://schemas.openxmlformats.org/officeDocument/2006/bibliography"/>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83</Pages>
  <Words>30813</Words>
  <Characters>175640</Characters>
  <Application>Microsoft Office Word</Application>
  <DocSecurity>0</DocSecurity>
  <Lines>1463</Lines>
  <Paragraphs>412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LIU Liu</cp:lastModifiedBy>
  <cp:revision>6</cp:revision>
  <dcterms:created xsi:type="dcterms:W3CDTF">2022-08-24T17:43:00Z</dcterms:created>
  <dcterms:modified xsi:type="dcterms:W3CDTF">2022-08-25T02:38:00Z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