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F82511"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F82511"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054783FA" w:rsidR="00DB2AD6" w:rsidRDefault="00DA29D7" w:rsidP="007D0719">
            <w:proofErr w:type="gramStart"/>
            <w:r>
              <w:t>CATT</w:t>
            </w:r>
            <w:r w:rsidR="005046F5">
              <w:t>,CMCC</w:t>
            </w:r>
            <w:proofErr w:type="gramEnd"/>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5046F5" w:rsidRPr="00076676" w14:paraId="7D240EF8" w14:textId="77777777" w:rsidTr="007D0719">
        <w:trPr>
          <w:trHeight w:val="333"/>
        </w:trPr>
        <w:tc>
          <w:tcPr>
            <w:tcW w:w="743" w:type="pct"/>
          </w:tcPr>
          <w:p w14:paraId="4BA905FF" w14:textId="0046C8EA" w:rsidR="005046F5" w:rsidRPr="005046F5" w:rsidRDefault="005046F5" w:rsidP="005046F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257" w:type="pct"/>
          </w:tcPr>
          <w:p w14:paraId="7F83C11E" w14:textId="77777777" w:rsidR="005046F5" w:rsidRDefault="00F82511" w:rsidP="005046F5">
            <w:pPr>
              <w:tabs>
                <w:tab w:val="left" w:pos="720"/>
              </w:tabs>
            </w:pPr>
            <w:r>
              <w:rPr>
                <w:rFonts w:eastAsiaTheme="minorEastAsia" w:hint="eastAsia"/>
                <w:bCs/>
                <w:lang w:eastAsia="zh-CN"/>
              </w:rPr>
              <w:t>I</w:t>
            </w:r>
            <w:r>
              <w:rPr>
                <w:rFonts w:eastAsiaTheme="minorEastAsia"/>
                <w:bCs/>
                <w:lang w:eastAsia="zh-CN"/>
              </w:rPr>
              <w:t xml:space="preserve">n TR 38.802, </w:t>
            </w:r>
            <w:r w:rsidR="00110348">
              <w:rPr>
                <w:rFonts w:eastAsiaTheme="minorEastAsia"/>
                <w:bCs/>
                <w:lang w:eastAsia="zh-CN"/>
              </w:rPr>
              <w:t xml:space="preserve">the </w:t>
            </w:r>
            <w:r w:rsidR="008A60B9" w:rsidRPr="00777AA8">
              <w:t>BS antenna configuration</w:t>
            </w:r>
            <w:r w:rsidR="008A60B9">
              <w:t xml:space="preserve"> for 30GHz is </w:t>
            </w:r>
            <w:r w:rsidR="008A60B9" w:rsidRPr="008A60B9">
              <w:t>(M, N, P, Mg, Ng) = (4, 8, 2, 2, 2). (</w:t>
            </w:r>
            <w:proofErr w:type="spellStart"/>
            <w:r w:rsidR="008A60B9" w:rsidRPr="008A60B9">
              <w:t>dV</w:t>
            </w:r>
            <w:proofErr w:type="spellEnd"/>
            <w:r w:rsidR="008A60B9" w:rsidRPr="008A60B9">
              <w:t xml:space="preserve">, </w:t>
            </w:r>
            <w:proofErr w:type="spellStart"/>
            <w:r w:rsidR="008A60B9" w:rsidRPr="008A60B9">
              <w:t>dH</w:t>
            </w:r>
            <w:proofErr w:type="spellEnd"/>
            <w:r w:rsidR="008A60B9" w:rsidRPr="008A60B9">
              <w:t>) = (0.5, 0.5) λ. (</w:t>
            </w:r>
            <w:proofErr w:type="spellStart"/>
            <w:proofErr w:type="gramStart"/>
            <w:r w:rsidR="008A60B9" w:rsidRPr="008A60B9">
              <w:t>dg,V</w:t>
            </w:r>
            <w:proofErr w:type="spellEnd"/>
            <w:proofErr w:type="gramEnd"/>
            <w:r w:rsidR="008A60B9" w:rsidRPr="008A60B9">
              <w:t xml:space="preserve">, </w:t>
            </w:r>
            <w:proofErr w:type="spellStart"/>
            <w:r w:rsidR="008A60B9" w:rsidRPr="008A60B9">
              <w:t>dg,H</w:t>
            </w:r>
            <w:proofErr w:type="spellEnd"/>
            <w:r w:rsidR="008A60B9" w:rsidRPr="008A60B9">
              <w:t>) = (2.0, 4.0) λ</w:t>
            </w:r>
            <w:r w:rsidR="008A60B9">
              <w:t xml:space="preserve">, </w:t>
            </w:r>
            <w:r w:rsidR="008A60B9" w:rsidRPr="008A60B9">
              <w:t>With 40dBm Tx power</w:t>
            </w:r>
            <w:r w:rsidR="008A60B9">
              <w:t>.</w:t>
            </w:r>
          </w:p>
          <w:p w14:paraId="2E57E61F" w14:textId="3710F5E0" w:rsidR="008A60B9" w:rsidRPr="00D80ADC" w:rsidRDefault="008A60B9" w:rsidP="005046F5">
            <w:pPr>
              <w:tabs>
                <w:tab w:val="left" w:pos="720"/>
              </w:tabs>
              <w:rPr>
                <w:rFonts w:eastAsiaTheme="minorEastAsia" w:hint="eastAsia"/>
                <w:bCs/>
                <w:lang w:eastAsia="zh-CN"/>
              </w:rPr>
            </w:pPr>
            <w:r>
              <w:rPr>
                <w:rFonts w:eastAsiaTheme="minorEastAsia" w:hint="eastAsia"/>
                <w:bCs/>
                <w:lang w:eastAsia="zh-CN"/>
              </w:rPr>
              <w:t>I</w:t>
            </w:r>
            <w:r>
              <w:rPr>
                <w:rFonts w:eastAsiaTheme="minorEastAsia"/>
                <w:bCs/>
                <w:lang w:eastAsia="zh-CN"/>
              </w:rPr>
              <w:t xml:space="preserve">f we </w:t>
            </w:r>
            <w:r w:rsidR="00D80ADC">
              <w:rPr>
                <w:rFonts w:eastAsiaTheme="minorEastAsia"/>
                <w:bCs/>
                <w:lang w:eastAsia="zh-CN"/>
              </w:rPr>
              <w:t>assume</w:t>
            </w:r>
            <w:r>
              <w:rPr>
                <w:rFonts w:eastAsiaTheme="minorEastAsia"/>
                <w:bCs/>
                <w:lang w:eastAsia="zh-CN"/>
              </w:rPr>
              <w:t xml:space="preserve"> single panel with </w:t>
            </w:r>
            <w:r w:rsidRPr="00740C5D">
              <w:rPr>
                <w:kern w:val="0"/>
              </w:rPr>
              <w:t>[</w:t>
            </w:r>
            <w:r w:rsidRPr="00740C5D">
              <w:rPr>
                <w:rFonts w:eastAsia="Microsoft YaHei UI"/>
                <w:color w:val="000000"/>
              </w:rPr>
              <w:t>4, 8, 2, 1, 1,1,1</w:t>
            </w:r>
            <w:r w:rsidRPr="00740C5D">
              <w:rPr>
                <w:kern w:val="0"/>
              </w:rPr>
              <w:t>]</w:t>
            </w:r>
            <w:r>
              <w:rPr>
                <w:kern w:val="0"/>
              </w:rPr>
              <w:t xml:space="preserve">, it is reasonable to </w:t>
            </w:r>
            <w:r w:rsidR="00D80ADC" w:rsidRPr="00C915CF">
              <w:rPr>
                <w:lang w:eastAsia="ja-JP"/>
              </w:rPr>
              <w:t>scaled dow</w:t>
            </w:r>
            <w:r w:rsidR="00D80ADC">
              <w:rPr>
                <w:lang w:eastAsia="ja-JP"/>
              </w:rPr>
              <w:t>n Tx power to 34dBm. We agree with FL</w:t>
            </w:r>
            <w:r w:rsidR="00D80ADC">
              <w:rPr>
                <w:rFonts w:eastAsiaTheme="minorEastAsia"/>
                <w:lang w:eastAsia="zh-CN"/>
              </w:rPr>
              <w:t>’s proposal to set 34dBm as a comprise.</w:t>
            </w:r>
            <w:bookmarkStart w:id="2" w:name="_GoBack"/>
            <w:bookmarkEnd w:id="2"/>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lastRenderedPageBreak/>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w:t>
            </w:r>
            <w:r>
              <w:rPr>
                <w:rFonts w:hint="eastAsia"/>
                <w:kern w:val="0"/>
              </w:rPr>
              <w:lastRenderedPageBreak/>
              <w:t>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lastRenderedPageBreak/>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3" w:name="_Hlk111716179"/>
      <w:r>
        <w:rPr>
          <w:sz w:val="18"/>
          <w:szCs w:val="18"/>
        </w:rPr>
        <w:t>UE orientation coupled with UE moving trajectory model</w:t>
      </w:r>
      <w:bookmarkEnd w:id="3"/>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lastRenderedPageBreak/>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4"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4"/>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5"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5"/>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w:t>
            </w:r>
            <w:r>
              <w:rPr>
                <w:rFonts w:eastAsia="宋体"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6"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6"/>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9"/>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9"/>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9"/>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9"/>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5E0F7770" w:rsidR="00DB2AD6" w:rsidRPr="00F03EBC" w:rsidRDefault="005046F5" w:rsidP="007D0719">
            <w:pPr>
              <w:rPr>
                <w:rFonts w:eastAsiaTheme="minorEastAsia"/>
                <w:lang w:eastAsia="zh-CN"/>
              </w:rPr>
            </w:pPr>
            <w:r>
              <w:rPr>
                <w:rFonts w:eastAsiaTheme="minorEastAsia" w:hint="eastAsia"/>
                <w:lang w:eastAsia="zh-CN"/>
              </w:rPr>
              <w:t>C</w:t>
            </w:r>
            <w:r>
              <w:rPr>
                <w:rFonts w:eastAsiaTheme="minorEastAsia"/>
                <w:lang w:eastAsia="zh-CN"/>
              </w:rPr>
              <w:t>MCC</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7777777" w:rsidR="00DB2AD6" w:rsidRPr="00611B0A" w:rsidRDefault="00DB2AD6" w:rsidP="007D0719">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lastRenderedPageBreak/>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77777777" w:rsidR="0049339D" w:rsidRDefault="0049339D" w:rsidP="007D0719">
            <w:pPr>
              <w:rPr>
                <w:rFonts w:asciiTheme="minorEastAsia" w:hAnsiTheme="minorEastAsia"/>
                <w:smallCaps/>
                <w:kern w:val="0"/>
              </w:rPr>
            </w:pPr>
          </w:p>
        </w:tc>
        <w:tc>
          <w:tcPr>
            <w:tcW w:w="4384" w:type="pct"/>
          </w:tcPr>
          <w:p w14:paraId="1E715042" w14:textId="77777777" w:rsidR="0049339D" w:rsidRDefault="0049339D" w:rsidP="007D0719">
            <w:pPr>
              <w:rPr>
                <w:kern w:val="0"/>
              </w:rPr>
            </w:pP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7" w:name="_Ref111192988"/>
      <w:bookmarkStart w:id="8" w:name="_Ref111205007"/>
      <w:bookmarkStart w:id="9" w:name="_Ref111199102"/>
      <w:bookmarkStart w:id="10" w:name="_Ref111205102"/>
      <w:bookmarkStart w:id="11"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7"/>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8"/>
      <w:bookmarkEnd w:id="9"/>
      <w:r>
        <w:rPr>
          <w:b w:val="0"/>
          <w:bCs w:val="0"/>
          <w:sz w:val="18"/>
          <w:szCs w:val="18"/>
        </w:rPr>
        <w:t xml:space="preserve"> Align on the number of beams in Set A of beams and Set B of beams for two sub-use AI/ML for BM. </w:t>
      </w:r>
      <w:bookmarkEnd w:id="10"/>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1"/>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pt;height:25.5pt;mso-width-percent:0;mso-height-percent:0;mso-width-percent:0;mso-height-percent:0" o:ole="">
            <v:imagedata r:id="rId17" o:title=""/>
          </v:shape>
          <o:OLEObject Type="Embed" ProgID="Equation.DSMT4" ShapeID="_x0000_i1025" DrawAspect="Content" ObjectID="_1722926740" r:id="rId18"/>
        </w:object>
      </w:r>
      <w:r>
        <w:rPr>
          <w:noProof/>
          <w:position w:val="-28"/>
          <w:sz w:val="16"/>
        </w:rPr>
        <w:object w:dxaOrig="1866" w:dyaOrig="531" w14:anchorId="26D4C134">
          <v:shape id="_x0000_i1026" type="#_x0000_t75" alt="" style="width:94pt;height:25.5pt;mso-width-percent:0;mso-height-percent:0;mso-width-percent:0;mso-height-percent:0" o:ole="">
            <v:imagedata r:id="rId19" o:title=""/>
          </v:shape>
          <o:OLEObject Type="Embed" ProgID="Equation.DSMT4" ShapeID="_x0000_i1026" DrawAspect="Content" ObjectID="_1722926741"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Samsung [17]: There are 4 beams in the vertical direction with 6-degree step, and 8 beams in the horizontal direction </w:t>
      </w:r>
      <w:r>
        <w:rPr>
          <w:rFonts w:eastAsia="微软雅黑"/>
          <w:sz w:val="18"/>
          <w:szCs w:val="18"/>
          <w:lang w:val="en-GB"/>
        </w:rPr>
        <w:lastRenderedPageBreak/>
        <w:t>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DoCoMo [26]: TxRU=2, 64 beams are assumed(H(16)*V(4))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r>
        <w:rPr>
          <w:sz w:val="18"/>
          <w:szCs w:val="18"/>
        </w:rPr>
        <w:t xml:space="preserve">CEWiT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lastRenderedPageBreak/>
        <w:t xml:space="preserve">Based on the above summary, the following proposals can be discussed: </w:t>
      </w:r>
    </w:p>
    <w:p w14:paraId="173C4489" w14:textId="77777777" w:rsidR="00F528DC" w:rsidRDefault="00CC5F6F">
      <w:pPr>
        <w:pStyle w:val="4"/>
        <w:rPr>
          <w:highlight w:val="yellow"/>
        </w:rPr>
      </w:pPr>
      <w:bookmarkStart w:id="12"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lastRenderedPageBreak/>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lastRenderedPageBreak/>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w:t>
            </w:r>
            <w:r w:rsidRPr="008A0D47">
              <w:rPr>
                <w:rFonts w:eastAsia="MS Mincho"/>
                <w:kern w:val="0"/>
                <w:lang w:eastAsia="ja-JP"/>
              </w:rPr>
              <w:lastRenderedPageBreak/>
              <w:t>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2"/>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r>
        <w:rPr>
          <w:sz w:val="18"/>
          <w:szCs w:val="18"/>
        </w:rPr>
        <w:t>Futurewei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lastRenderedPageBreak/>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r>
        <w:rPr>
          <w:sz w:val="18"/>
          <w:szCs w:val="18"/>
        </w:rPr>
        <w:t>Futurewei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 xml:space="preserve">Observation 2: For BM-Case1, a “sparse” Set B, or a random Set B pattern design, may cause throughput loss, </w:t>
      </w:r>
      <w:r>
        <w:rPr>
          <w:sz w:val="18"/>
          <w:szCs w:val="18"/>
          <w:lang w:eastAsia="en-US"/>
        </w:rPr>
        <w:lastRenderedPageBreak/>
        <w:t>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3"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3"/>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 xml:space="preserve">For example, in our evaluation result [22], we observed that by using the multi-arm beam design in Set B, the AI/ML model can perform better </w:t>
            </w:r>
            <w:r>
              <w:rPr>
                <w:rFonts w:eastAsia="PMingLiU"/>
                <w:lang w:eastAsia="zh-TW"/>
              </w:rPr>
              <w:lastRenderedPageBreak/>
              <w:t>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lastRenderedPageBreak/>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lastRenderedPageBreak/>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lastRenderedPageBreak/>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lastRenderedPageBreak/>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w:t>
      </w:r>
      <w:r>
        <w:rPr>
          <w:b/>
          <w:bCs/>
        </w:rPr>
        <w:lastRenderedPageBreak/>
        <w:t xml:space="preserve">(pairs)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9"/>
        <w:numPr>
          <w:ilvl w:val="2"/>
          <w:numId w:val="32"/>
        </w:numPr>
        <w:rPr>
          <w:b/>
          <w:bCs/>
        </w:rPr>
      </w:pPr>
      <w:r>
        <w:rPr>
          <w:b/>
          <w:bCs/>
        </w:rPr>
        <w:t>FFS on the pattern of Set B</w:t>
      </w:r>
    </w:p>
    <w:p w14:paraId="3C19AD34" w14:textId="0104DCEC"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9"/>
        <w:numPr>
          <w:ilvl w:val="2"/>
          <w:numId w:val="32"/>
        </w:numPr>
        <w:rPr>
          <w:b/>
          <w:bCs/>
        </w:rPr>
      </w:pPr>
      <w:r w:rsidRPr="00C83705">
        <w:rPr>
          <w:b/>
          <w:bCs/>
        </w:rPr>
        <w:t>FFS on fixed or variable number of beam(pairs)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77777777" w:rsidR="0002471D" w:rsidRDefault="0002471D" w:rsidP="0002471D">
      <w:pPr>
        <w:pStyle w:val="af9"/>
        <w:numPr>
          <w:ilvl w:val="1"/>
          <w:numId w:val="32"/>
        </w:numPr>
        <w:rPr>
          <w:b/>
          <w:bCs/>
        </w:rPr>
      </w:pPr>
      <w:r>
        <w:rPr>
          <w:b/>
          <w:bCs/>
        </w:rPr>
        <w:t>FFS on the number of beam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3FC64391"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CAICT, </w:t>
            </w:r>
            <w:proofErr w:type="spellStart"/>
            <w:r w:rsidRPr="0002471D">
              <w:rPr>
                <w:rFonts w:eastAsiaTheme="minorEastAsia"/>
                <w:color w:val="A6A6A6" w:themeColor="background1" w:themeShade="A6"/>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w:t>
            </w:r>
            <w:proofErr w:type="gramStart"/>
            <w:r w:rsidRPr="0002471D">
              <w:rPr>
                <w:smallCaps/>
                <w:color w:val="A6A6A6" w:themeColor="background1" w:themeShade="A6"/>
              </w:rPr>
              <w:t>DCM</w:t>
            </w:r>
            <w:r w:rsidR="005046F5">
              <w:rPr>
                <w:smallCaps/>
                <w:color w:val="A6A6A6" w:themeColor="background1" w:themeShade="A6"/>
              </w:rPr>
              <w:t>,</w:t>
            </w:r>
            <w:r w:rsidR="005046F5" w:rsidRPr="005046F5">
              <w:rPr>
                <w:smallCaps/>
                <w:color w:val="000000" w:themeColor="text1"/>
              </w:rPr>
              <w:t>CMCC</w:t>
            </w:r>
            <w:proofErr w:type="gramEnd"/>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4"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lastRenderedPageBreak/>
        <w:t>Align the assumption on SSB/CSI-RS patterns in time domain at least for temporal beam prediction.</w:t>
      </w:r>
      <w:bookmarkEnd w:id="14"/>
    </w:p>
    <w:p w14:paraId="173C454A" w14:textId="77777777" w:rsidR="00F528DC" w:rsidRDefault="00CC5F6F">
      <w:pPr>
        <w:pStyle w:val="af9"/>
        <w:widowControl/>
        <w:numPr>
          <w:ilvl w:val="1"/>
          <w:numId w:val="32"/>
        </w:numPr>
        <w:spacing w:after="180"/>
        <w:contextualSpacing w:val="0"/>
        <w:jc w:val="left"/>
        <w:rPr>
          <w:sz w:val="18"/>
          <w:szCs w:val="18"/>
        </w:rPr>
      </w:pPr>
      <w:bookmarkStart w:id="15" w:name="_Ref111205964"/>
      <w:r>
        <w:rPr>
          <w:sz w:val="18"/>
          <w:szCs w:val="18"/>
        </w:rPr>
        <w:t>The input/output for AI/ML needs to be clarified, together with the assumption on beam management procedure and RS time domain pattern for measurement.</w:t>
      </w:r>
      <w:bookmarkEnd w:id="15"/>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6"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6"/>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lastRenderedPageBreak/>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bl>
    <w:p w14:paraId="3A114B0A" w14:textId="77777777"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w:t>
      </w:r>
      <w:r>
        <w:rPr>
          <w:sz w:val="18"/>
          <w:szCs w:val="18"/>
        </w:rPr>
        <w:lastRenderedPageBreak/>
        <w:t>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7"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7"/>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 xml:space="preserve">e are wondering whether it is feasible for a RAN node to acquire the </w:t>
            </w:r>
            <w:r>
              <w:rPr>
                <w:rFonts w:eastAsiaTheme="minorEastAsia"/>
                <w:kern w:val="0"/>
                <w:lang w:eastAsia="zh-CN"/>
              </w:rPr>
              <w:lastRenderedPageBreak/>
              <w:t>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Huawei/HiSi[2]:</w:t>
      </w:r>
    </w:p>
    <w:p w14:paraId="173C45C3" w14:textId="77777777" w:rsidR="00F528DC" w:rsidRDefault="00CC5F6F">
      <w:pPr>
        <w:pStyle w:val="af9"/>
        <w:numPr>
          <w:ilvl w:val="1"/>
          <w:numId w:val="35"/>
        </w:numPr>
        <w:rPr>
          <w:sz w:val="18"/>
          <w:szCs w:val="18"/>
        </w:rPr>
      </w:pPr>
      <w:bookmarkStart w:id="18" w:name="_Ref111192804"/>
      <w:r>
        <w:rPr>
          <w:sz w:val="18"/>
          <w:szCs w:val="18"/>
        </w:rPr>
        <w:lastRenderedPageBreak/>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8"/>
    </w:p>
    <w:p w14:paraId="173C45C4" w14:textId="77777777" w:rsidR="00F528DC" w:rsidRDefault="00CC5F6F">
      <w:pPr>
        <w:pStyle w:val="af9"/>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9"/>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9"/>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9"/>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9"/>
        <w:numPr>
          <w:ilvl w:val="1"/>
          <w:numId w:val="35"/>
        </w:numPr>
        <w:rPr>
          <w:sz w:val="18"/>
          <w:szCs w:val="18"/>
        </w:rPr>
      </w:pPr>
      <w:bookmarkStart w:id="19"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9"/>
    </w:p>
    <w:p w14:paraId="173C45C9" w14:textId="77777777" w:rsidR="00F528DC" w:rsidRDefault="00CC5F6F">
      <w:pPr>
        <w:pStyle w:val="af9"/>
        <w:numPr>
          <w:ilvl w:val="2"/>
          <w:numId w:val="35"/>
        </w:numPr>
        <w:rPr>
          <w:sz w:val="18"/>
          <w:szCs w:val="18"/>
        </w:rPr>
      </w:pPr>
      <w:r>
        <w:rPr>
          <w:sz w:val="18"/>
          <w:szCs w:val="18"/>
        </w:rPr>
        <w:t>Various channel types, including UMa, UMi, InH</w:t>
      </w:r>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Various channel types, including UMa, UMi, InH</w:t>
      </w:r>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lastRenderedPageBreak/>
        <w:t>For UE side inference, different scenarios and cell/gNB specific configurations/parameters are considered</w:t>
      </w:r>
    </w:p>
    <w:p w14:paraId="173C45DD" w14:textId="77777777" w:rsidR="00F528DC" w:rsidRDefault="00CC5F6F">
      <w:pPr>
        <w:pStyle w:val="af9"/>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20"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0"/>
    </w:p>
    <w:p w14:paraId="173C45E2" w14:textId="77777777" w:rsidR="00F528DC" w:rsidRDefault="00CC5F6F">
      <w:pPr>
        <w:pStyle w:val="af9"/>
        <w:numPr>
          <w:ilvl w:val="1"/>
          <w:numId w:val="35"/>
        </w:numPr>
        <w:rPr>
          <w:sz w:val="18"/>
          <w:szCs w:val="18"/>
        </w:rPr>
      </w:pPr>
      <w:bookmarkStart w:id="21" w:name="_Toc111217423"/>
      <w:r>
        <w:rPr>
          <w:sz w:val="18"/>
          <w:szCs w:val="18"/>
        </w:rPr>
        <w:t>It is too early to define the exact scenario for testing model generalizations at this stage of the study item. Companies are encouraged to propose scenario alternatives</w:t>
      </w:r>
      <w:bookmarkEnd w:id="21"/>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lastRenderedPageBreak/>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9"/>
              <w:numPr>
                <w:ilvl w:val="0"/>
                <w:numId w:val="11"/>
              </w:numPr>
              <w:rPr>
                <w:kern w:val="0"/>
              </w:rPr>
            </w:pPr>
            <w:r>
              <w:rPr>
                <w:kern w:val="0"/>
              </w:rPr>
              <w:t>Different UE speeds can be 30, 60, 90, etc,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lastRenderedPageBreak/>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2"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w:t>
            </w:r>
            <w:r w:rsidRPr="00F304D5">
              <w:rPr>
                <w:rFonts w:eastAsia="MS Mincho"/>
                <w:kern w:val="0"/>
                <w:lang w:val="en-GB" w:eastAsia="ja-JP"/>
              </w:rPr>
              <w:lastRenderedPageBreak/>
              <w:t>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2"/>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r w:rsidRPr="00B96655">
              <w:rPr>
                <w:rFonts w:eastAsiaTheme="minorEastAsia"/>
                <w:kern w:val="0"/>
              </w:rPr>
              <w:lastRenderedPageBreak/>
              <w:t>UMa, UMi, InH</w:t>
            </w:r>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 xml:space="preserve">To verify the generalization of AI/ML models on </w:t>
            </w:r>
            <w:r w:rsidRPr="00B96655">
              <w:rPr>
                <w:rFonts w:eastAsiaTheme="minorEastAsia"/>
                <w:kern w:val="0"/>
              </w:rPr>
              <w:lastRenderedPageBreak/>
              <w:t>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lastRenderedPageBreak/>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lastRenderedPageBreak/>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30E28A77" w:rsidR="000A1054" w:rsidRPr="000A1054"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294DA44E" w:rsidR="007861E9" w:rsidRPr="00F03EBC" w:rsidRDefault="00B70FE8" w:rsidP="007D0719">
            <w:pPr>
              <w:rPr>
                <w:rFonts w:eastAsiaTheme="minorEastAsia"/>
                <w:lang w:eastAsia="zh-CN"/>
              </w:rPr>
            </w:pPr>
            <w:proofErr w:type="gramStart"/>
            <w:r>
              <w:rPr>
                <w:rFonts w:eastAsiaTheme="minorEastAsia" w:hint="eastAsia"/>
                <w:lang w:eastAsia="zh-CN"/>
              </w:rPr>
              <w:t>CATT</w:t>
            </w:r>
            <w:r w:rsidR="005046F5">
              <w:rPr>
                <w:rFonts w:eastAsiaTheme="minorEastAsia"/>
                <w:lang w:eastAsia="zh-CN"/>
              </w:rPr>
              <w:t>,CMCC</w:t>
            </w:r>
            <w:proofErr w:type="gramEnd"/>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lastRenderedPageBreak/>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CNN: Futurewei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lastRenderedPageBreak/>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w:t>
            </w:r>
            <w:r>
              <w:lastRenderedPageBreak/>
              <w:t xml:space="preserve">is within 1dB of the ideal L1-RSRP of the Top-1 genie-aided beam” </w:t>
            </w:r>
          </w:p>
        </w:tc>
        <w:tc>
          <w:tcPr>
            <w:tcW w:w="2631" w:type="dxa"/>
          </w:tcPr>
          <w:p w14:paraId="173C4695" w14:textId="77777777" w:rsidR="00F528DC" w:rsidRDefault="00CC5F6F">
            <w:r>
              <w:lastRenderedPageBreak/>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r>
        <w:t xml:space="preserve">Futurewei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3" w:name="_Hlk110602272"/>
      <w:r>
        <w:t xml:space="preserve">average L1-RSRP difference between the ideal L1-RSRP of the Top-1 genie-aided beam and the ideal L1-RSRP of the Top-K genie-aided beams in the (testing) dataset </w:t>
      </w:r>
      <w:bookmarkEnd w:id="23"/>
      <w:r>
        <w:t xml:space="preserve">is known.  </w:t>
      </w:r>
    </w:p>
    <w:p w14:paraId="173C46A4" w14:textId="77777777" w:rsidR="00F528DC" w:rsidRDefault="00CC5F6F">
      <w:pPr>
        <w:pStyle w:val="af9"/>
        <w:numPr>
          <w:ilvl w:val="0"/>
          <w:numId w:val="40"/>
        </w:numPr>
      </w:pPr>
      <w:bookmarkStart w:id="24" w:name="_Ref111192963"/>
      <w:r>
        <w:t>Huawei [2]</w:t>
      </w:r>
    </w:p>
    <w:p w14:paraId="173C46A5" w14:textId="77777777" w:rsidR="00F528DC" w:rsidRDefault="00CC5F6F">
      <w:pPr>
        <w:pStyle w:val="af9"/>
        <w:numPr>
          <w:ilvl w:val="1"/>
          <w:numId w:val="40"/>
        </w:numPr>
      </w:pPr>
      <w:r>
        <w:t xml:space="preserve">Proposal </w:t>
      </w:r>
      <w:r w:rsidR="0093653C">
        <w:fldChar w:fldCharType="begin"/>
      </w:r>
      <w:r w:rsidR="0093653C">
        <w:instrText xml:space="preserve"> SEQ Proposal \* ARABIC </w:instrText>
      </w:r>
      <w:r w:rsidR="0093653C">
        <w:fldChar w:fldCharType="separate"/>
      </w:r>
      <w:r>
        <w:t>9</w:t>
      </w:r>
      <w:r w:rsidR="0093653C">
        <w:fldChar w:fldCharType="end"/>
      </w:r>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4"/>
    </w:p>
    <w:p w14:paraId="173C46A6" w14:textId="77777777" w:rsidR="00F528DC" w:rsidRDefault="00CC5F6F">
      <w:pPr>
        <w:pStyle w:val="af9"/>
        <w:numPr>
          <w:ilvl w:val="1"/>
          <w:numId w:val="40"/>
        </w:numPr>
      </w:pPr>
      <w:bookmarkStart w:id="25" w:name="_Ref111193022"/>
      <w:r>
        <w:t xml:space="preserve">Proposal </w:t>
      </w:r>
      <w:r w:rsidR="0093653C">
        <w:fldChar w:fldCharType="begin"/>
      </w:r>
      <w:r w:rsidR="0093653C">
        <w:instrText xml:space="preserve"> SEQ Proposal \* ARABIC </w:instrText>
      </w:r>
      <w:r w:rsidR="0093653C">
        <w:fldChar w:fldCharType="separate"/>
      </w:r>
      <w:r>
        <w:t>14</w:t>
      </w:r>
      <w:r w:rsidR="0093653C">
        <w:fldChar w:fldCharType="end"/>
      </w:r>
      <w:r>
        <w:t>: For temporal beam prediction evaluation, results for Top-K, K&gt;1 should be presented in addition to Top-1 results.</w:t>
      </w:r>
      <w:bookmarkEnd w:id="25"/>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 xml:space="preserve">the difference between the highest ideal L1-RSRP of the Top-K predicted beam and the ideal </w:t>
      </w:r>
      <w:r>
        <w:lastRenderedPageBreak/>
        <w:t>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lastRenderedPageBreak/>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Support Avg. and 5% UE tput for system performance KPIs.</w:t>
      </w:r>
    </w:p>
    <w:p w14:paraId="173C46F0" w14:textId="77777777" w:rsidR="00F528DC" w:rsidRDefault="00CC5F6F">
      <w:pPr>
        <w:pStyle w:val="af9"/>
        <w:numPr>
          <w:ilvl w:val="0"/>
          <w:numId w:val="40"/>
        </w:numPr>
      </w:pPr>
      <w:bookmarkStart w:id="26" w:name="_Ref111199105"/>
      <w:r>
        <w:t>Samsung [17]: Proposal 8: Shannon capacity-based simplified model for UPT can be further considered as additional system performance related KPI.</w:t>
      </w:r>
      <w:bookmarkEnd w:id="26"/>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7"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7"/>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w:t>
            </w:r>
            <w:r>
              <w:rPr>
                <w:rFonts w:eastAsiaTheme="minorEastAsia" w:hint="eastAsia"/>
                <w:lang w:eastAsia="zh-CN"/>
              </w:rPr>
              <w:lastRenderedPageBreak/>
              <w:t xml:space="preserve">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5046F5" w14:paraId="6CB2E2D1" w14:textId="77777777" w:rsidTr="007D0719">
        <w:trPr>
          <w:trHeight w:val="333"/>
        </w:trPr>
        <w:tc>
          <w:tcPr>
            <w:tcW w:w="616" w:type="pct"/>
          </w:tcPr>
          <w:p w14:paraId="3649A4A6" w14:textId="052ED15D" w:rsidR="005046F5" w:rsidRPr="005046F5" w:rsidRDefault="005046F5" w:rsidP="007D0719">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384" w:type="pct"/>
          </w:tcPr>
          <w:p w14:paraId="3C977E83" w14:textId="77777777" w:rsidR="005046F5" w:rsidRDefault="005046F5" w:rsidP="005046F5">
            <w:pPr>
              <w:keepNext/>
              <w:rPr>
                <w:rFonts w:eastAsiaTheme="minorEastAsia"/>
                <w:lang w:eastAsia="zh-CN"/>
              </w:rPr>
            </w:pPr>
            <w:r>
              <w:rPr>
                <w:rFonts w:eastAsiaTheme="minorEastAsia"/>
                <w:lang w:eastAsia="zh-CN"/>
              </w:rPr>
              <w:t xml:space="preserve">In our view, the predicted Top-K beam pairs should be </w:t>
            </w:r>
            <w:r>
              <w:rPr>
                <w:rFonts w:eastAsiaTheme="minorEastAsia" w:hint="eastAsia"/>
                <w:lang w:eastAsia="zh-CN"/>
              </w:rPr>
              <w:t>measured</w:t>
            </w:r>
            <w:r>
              <w:rPr>
                <w:rFonts w:eastAsiaTheme="minorEastAsia"/>
                <w:lang w:eastAsia="zh-CN"/>
              </w:rPr>
              <w:t xml:space="preserve"> by UE </w:t>
            </w:r>
            <w:r>
              <w:rPr>
                <w:rFonts w:eastAsiaTheme="minorEastAsia" w:hint="eastAsia"/>
                <w:lang w:eastAsia="zh-CN"/>
              </w:rPr>
              <w:t>to</w:t>
            </w:r>
            <w:r>
              <w:rPr>
                <w:rFonts w:eastAsiaTheme="minorEastAsia"/>
                <w:lang w:eastAsia="zh-CN"/>
              </w:rPr>
              <w:t xml:space="preserve"> obtain </w:t>
            </w:r>
            <w:r>
              <w:rPr>
                <w:rFonts w:eastAsiaTheme="minorEastAsia" w:hint="eastAsia"/>
                <w:lang w:eastAsia="zh-CN"/>
              </w:rPr>
              <w:t>the</w:t>
            </w:r>
            <w:r>
              <w:rPr>
                <w:rFonts w:eastAsiaTheme="minorEastAsia"/>
                <w:lang w:eastAsia="zh-CN"/>
              </w:rPr>
              <w:t xml:space="preserve"> </w:t>
            </w:r>
            <w:r w:rsidRPr="006B6B99">
              <w:rPr>
                <w:rFonts w:eastAsiaTheme="minorEastAsia"/>
                <w:lang w:eastAsia="zh-CN"/>
              </w:rPr>
              <w:t xml:space="preserve">QCL </w:t>
            </w:r>
            <w:r>
              <w:rPr>
                <w:rFonts w:eastAsiaTheme="minorEastAsia"/>
                <w:lang w:eastAsia="zh-CN"/>
              </w:rPr>
              <w:t>parameters</w:t>
            </w:r>
            <w:r w:rsidRPr="006B6B99">
              <w:rPr>
                <w:rFonts w:eastAsiaTheme="minorEastAsia"/>
                <w:lang w:eastAsia="zh-CN"/>
              </w:rPr>
              <w:t>.</w:t>
            </w:r>
            <w:r>
              <w:rPr>
                <w:rFonts w:eastAsiaTheme="minorEastAsia"/>
                <w:lang w:eastAsia="zh-CN"/>
              </w:rPr>
              <w:t xml:space="preserve"> Otherwise, the UE cannot obtain the QCL since only predicted L1-RSRP is known.</w:t>
            </w:r>
          </w:p>
          <w:p w14:paraId="1ADD324C" w14:textId="77777777" w:rsidR="005046F5" w:rsidRDefault="005046F5" w:rsidP="005046F5">
            <w:pPr>
              <w:rPr>
                <w:rFonts w:eastAsia="MS Mincho"/>
                <w:kern w:val="0"/>
                <w:lang w:eastAsia="ja-JP"/>
              </w:rPr>
            </w:pPr>
            <w:r>
              <w:rPr>
                <w:rFonts w:eastAsiaTheme="minorEastAsia"/>
                <w:lang w:eastAsia="zh-CN"/>
              </w:rPr>
              <w:t xml:space="preserve">We see similar </w:t>
            </w:r>
            <w:r>
              <w:rPr>
                <w:rFonts w:eastAsia="MS Mincho"/>
                <w:kern w:val="0"/>
                <w:lang w:eastAsia="ja-JP"/>
              </w:rPr>
              <w:t>motivation of Option 3. We can merge option 3 and option 4 as follows.</w:t>
            </w:r>
          </w:p>
          <w:p w14:paraId="423E5796" w14:textId="32DF5BC3" w:rsidR="005046F5" w:rsidRDefault="005046F5" w:rsidP="005046F5">
            <w:pPr>
              <w:keepNext/>
            </w:pPr>
            <w:r w:rsidRPr="007B0CB5">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(paris)  in Set B)+# of TopK beams (pairs) not covered by Set B</m:t>
                  </m:r>
                </m:num>
                <m:den>
                  <m:r>
                    <m:rPr>
                      <m:sty m:val="p"/>
                    </m:rPr>
                    <w:rPr>
                      <w:rFonts w:ascii="Cambria Math" w:hAnsi="Cambria Math"/>
                    </w:rPr>
                    <m:t>(# of beams (pairs)in Set A)</m:t>
                  </m:r>
                </m:den>
              </m:f>
            </m:oMath>
          </w:p>
        </w:tc>
      </w:tr>
    </w:tbl>
    <w:p w14:paraId="2A70D4EC" w14:textId="77777777"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lastRenderedPageBreak/>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lastRenderedPageBreak/>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28" w:name="_Toc101462020"/>
      <w:bookmarkStart w:id="29" w:name="_Toc101462246"/>
      <w:bookmarkStart w:id="30" w:name="_Toc101462385"/>
      <w:bookmarkStart w:id="31" w:name="_Toc102079222"/>
      <w:bookmarkStart w:id="32" w:name="_Toc101462364"/>
      <w:bookmarkStart w:id="33" w:name="_Toc102043799"/>
      <w:bookmarkStart w:id="34" w:name="_Toc102030984"/>
      <w:bookmarkStart w:id="35" w:name="_Toc102031785"/>
      <w:r>
        <w:rPr>
          <w:sz w:val="18"/>
          <w:szCs w:val="18"/>
        </w:rPr>
        <w:t>Lenovo [11]: Complexity of the proposed AI/ML model should be evaluated for every phase in the model lifecycle, namely, training, inference and update.</w:t>
      </w:r>
      <w:bookmarkEnd w:id="28"/>
      <w:bookmarkEnd w:id="29"/>
      <w:bookmarkEnd w:id="30"/>
      <w:bookmarkEnd w:id="31"/>
      <w:bookmarkEnd w:id="32"/>
      <w:bookmarkEnd w:id="33"/>
      <w:bookmarkEnd w:id="34"/>
      <w:bookmarkEnd w:id="35"/>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6" w:name="_Ref111199106"/>
      <w:r>
        <w:rPr>
          <w:iCs/>
          <w:sz w:val="18"/>
          <w:szCs w:val="18"/>
        </w:rPr>
        <w:t>Proposal # 9:  For the use case of AI/ML based beam management, at least the following capability-related KPI shall be considered:</w:t>
      </w:r>
      <w:bookmarkEnd w:id="36"/>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w:t>
      </w:r>
      <w:r>
        <w:rPr>
          <w:sz w:val="18"/>
          <w:szCs w:val="18"/>
          <w:lang w:eastAsia="en-US"/>
        </w:rPr>
        <w:lastRenderedPageBreak/>
        <w:t xml:space="preserve">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7"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7"/>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38"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8"/>
      <w:r>
        <w:rPr>
          <w:b w:val="0"/>
          <w:bCs w:val="0"/>
        </w:rPr>
        <w:t xml:space="preserve">. </w:t>
      </w:r>
    </w:p>
    <w:p w14:paraId="173C47B7" w14:textId="77777777" w:rsidR="00F528DC" w:rsidRDefault="00CC5F6F">
      <w:pPr>
        <w:pStyle w:val="a4"/>
        <w:numPr>
          <w:ilvl w:val="0"/>
          <w:numId w:val="44"/>
        </w:numPr>
        <w:jc w:val="left"/>
        <w:rPr>
          <w:b w:val="0"/>
          <w:bCs w:val="0"/>
          <w:u w:val="single"/>
        </w:rPr>
      </w:pPr>
      <w:bookmarkStart w:id="39"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9"/>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lastRenderedPageBreak/>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lastRenderedPageBreak/>
        <w:t xml:space="preserve">CEWiT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r w:rsidR="004F23E8">
              <w:rPr>
                <w:rFonts w:eastAsia="宋体"/>
                <w:lang w:eastAsia="zh-CN"/>
              </w:rPr>
              <w:t>Fujitsu</w:t>
            </w:r>
            <w:r w:rsidR="00067775">
              <w:rPr>
                <w:rFonts w:eastAsia="宋体"/>
                <w:lang w:eastAsia="zh-CN"/>
              </w:rPr>
              <w:t>,CMCC</w:t>
            </w:r>
            <w:proofErr w:type="spell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lastRenderedPageBreak/>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 xml:space="preserve">The hierarchical beam search consists of two steps. First, 16 beams are uniformly sampled from the 16 input wide beams, and the beam corresponding to the largest RSRP is selected. Second, 4 narrow beams corresponding to the </w:t>
      </w:r>
      <w:r>
        <w:rPr>
          <w:sz w:val="18"/>
          <w:szCs w:val="18"/>
        </w:rPr>
        <w:lastRenderedPageBreak/>
        <w:t>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r>
        <w:rPr>
          <w:sz w:val="18"/>
          <w:szCs w:val="18"/>
        </w:rPr>
        <w:t>CEWiT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9"/>
        <w:numPr>
          <w:ilvl w:val="1"/>
          <w:numId w:val="40"/>
        </w:numPr>
        <w:rPr>
          <w:sz w:val="18"/>
          <w:szCs w:val="18"/>
          <w:lang w:eastAsia="en-US"/>
        </w:rPr>
      </w:pPr>
      <w:r>
        <w:rPr>
          <w:sz w:val="18"/>
          <w:szCs w:val="18"/>
          <w:lang w:eastAsia="en-US"/>
        </w:rPr>
        <w:t xml:space="preserve">AI/ML-based Top-5 prediction reaches almost the upper performance bound with a prediction accuracy of 94.95% </w:t>
      </w:r>
      <w:r>
        <w:rPr>
          <w:sz w:val="18"/>
          <w:szCs w:val="18"/>
          <w:lang w:eastAsia="en-US"/>
        </w:rPr>
        <w:lastRenderedPageBreak/>
        <w:t>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w:t>
      </w:r>
      <w:r>
        <w:rPr>
          <w:sz w:val="18"/>
          <w:szCs w:val="18"/>
          <w:lang w:eastAsia="en-US"/>
        </w:rPr>
        <w:lastRenderedPageBreak/>
        <w:t xml:space="preserve">2dB.  </w:t>
      </w:r>
    </w:p>
    <w:p w14:paraId="173C484A" w14:textId="77777777" w:rsidR="00F528DC" w:rsidRDefault="00CC5F6F">
      <w:pPr>
        <w:pStyle w:val="af9"/>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0"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0"/>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lastRenderedPageBreak/>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1"/>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2" w:name="_Ref111192769"/>
      <w:r>
        <w:rPr>
          <w:sz w:val="18"/>
          <w:szCs w:val="18"/>
          <w:lang w:eastAsia="en-US"/>
        </w:rPr>
        <w:lastRenderedPageBreak/>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2"/>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lastRenderedPageBreak/>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lastRenderedPageBreak/>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F82511">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F82511">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F82511">
            <w:pPr>
              <w:rPr>
                <w:rFonts w:eastAsia="Microsoft YaHei UI"/>
                <w:color w:val="000000"/>
              </w:rPr>
            </w:pPr>
            <w:r w:rsidRPr="00D16984">
              <w:rPr>
                <w:rFonts w:eastAsia="Microsoft YaHei UI"/>
                <w:b/>
                <w:bCs/>
                <w:color w:val="000000"/>
              </w:rPr>
              <w:t>Values</w:t>
            </w:r>
          </w:p>
        </w:tc>
      </w:tr>
      <w:tr w:rsidR="00112D43" w:rsidRPr="00D16984" w14:paraId="1931DA18" w14:textId="77777777" w:rsidTr="00F82511">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F82511">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F82511">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F82511">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lastRenderedPageBreak/>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F82511">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F82511">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F82511">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lastRenderedPageBreak/>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9"/>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lastRenderedPageBreak/>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7pt;height:116.55pt;mso-width-percent:0;mso-height-percent:0;mso-width-percent:0;mso-height-percent:0" o:ole="">
            <v:imagedata r:id="rId50" o:title=""/>
          </v:shape>
          <o:OLEObject Type="Embed" ProgID="Visio.Drawing.15" ShapeID="_x0000_i1027" DrawAspect="Content" ObjectID="_1722926742"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9"/>
        <w:numPr>
          <w:ilvl w:val="2"/>
          <w:numId w:val="68"/>
        </w:numPr>
      </w:pPr>
      <w:r>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lastRenderedPageBreak/>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9"/>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lastRenderedPageBreak/>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EDAD1" w14:textId="77777777" w:rsidR="00AB0738" w:rsidRDefault="00AB0738" w:rsidP="006A624C">
      <w:r>
        <w:separator/>
      </w:r>
    </w:p>
  </w:endnote>
  <w:endnote w:type="continuationSeparator" w:id="0">
    <w:p w14:paraId="0B070A52" w14:textId="77777777" w:rsidR="00AB0738" w:rsidRDefault="00AB0738"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FAF2" w14:textId="77777777" w:rsidR="00AB0738" w:rsidRDefault="00AB0738" w:rsidP="006A624C">
      <w:r>
        <w:separator/>
      </w:r>
    </w:p>
  </w:footnote>
  <w:footnote w:type="continuationSeparator" w:id="0">
    <w:p w14:paraId="5117F438" w14:textId="77777777" w:rsidR="00AB0738" w:rsidRDefault="00AB0738"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348"/>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6F5"/>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0B9"/>
    <w:rsid w:val="008A6903"/>
    <w:rsid w:val="008A7B9C"/>
    <w:rsid w:val="008A7E47"/>
    <w:rsid w:val="008B016E"/>
    <w:rsid w:val="008B04BC"/>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53C"/>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738"/>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6E2A"/>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ADC"/>
    <w:rsid w:val="00D80B45"/>
    <w:rsid w:val="00D8104C"/>
    <w:rsid w:val="00D81321"/>
    <w:rsid w:val="00D817DA"/>
    <w:rsid w:val="00D82A6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2511"/>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BF369C3B-D9C7-460E-9BA7-7EB722A7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83</Pages>
  <Words>30876</Words>
  <Characters>175997</Characters>
  <Application>Microsoft Office Word</Application>
  <DocSecurity>0</DocSecurity>
  <Lines>1466</Lines>
  <Paragraphs>412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cmcc</cp:lastModifiedBy>
  <cp:revision>6</cp:revision>
  <dcterms:created xsi:type="dcterms:W3CDTF">2022-08-24T17:43:00Z</dcterms:created>
  <dcterms:modified xsi:type="dcterms:W3CDTF">2022-08-25T01:57:00Z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