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41DC" w14:textId="48AEDF45" w:rsidR="00F528DC" w:rsidRDefault="00CC5F6F" w:rsidP="00070F22">
      <w:pPr>
        <w:tabs>
          <w:tab w:val="right" w:pos="9630"/>
        </w:tabs>
        <w:spacing w:after="6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AE6E2A"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AE6E2A"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D1618C"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lastRenderedPageBreak/>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lastRenderedPageBreak/>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lastRenderedPageBreak/>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w:t>
            </w:r>
            <w:r>
              <w:rPr>
                <w:rFonts w:eastAsia="宋体"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6A329AF4" w:rsidR="00DB2AD6" w:rsidRPr="00F03EBC" w:rsidRDefault="00DB2AD6" w:rsidP="007D0719">
            <w:pPr>
              <w:rPr>
                <w:rFonts w:eastAsiaTheme="minorEastAsia"/>
                <w:lang w:eastAsia="zh-CN"/>
              </w:rPr>
            </w:pP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lastRenderedPageBreak/>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hint="eastAsia"/>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77777777" w:rsidR="0049339D" w:rsidRDefault="0049339D" w:rsidP="007D0719">
            <w:pPr>
              <w:rPr>
                <w:rFonts w:asciiTheme="minorEastAsia" w:hAnsiTheme="minorEastAsia" w:hint="eastAsia"/>
                <w:smallCaps/>
                <w:kern w:val="0"/>
              </w:rPr>
            </w:pPr>
          </w:p>
        </w:tc>
        <w:tc>
          <w:tcPr>
            <w:tcW w:w="4384" w:type="pct"/>
          </w:tcPr>
          <w:p w14:paraId="1E715042" w14:textId="77777777" w:rsidR="0049339D" w:rsidRDefault="0049339D" w:rsidP="007D0719">
            <w:pPr>
              <w:rPr>
                <w:rFonts w:hint="eastAsia"/>
                <w:kern w:val="0"/>
              </w:rPr>
            </w:pP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5pt;height:25.5pt;mso-width-percent:0;mso-height-percent:0;mso-width-percent:0;mso-height-percent:0" o:ole="">
            <v:imagedata r:id="rId17" o:title=""/>
          </v:shape>
          <o:OLEObject Type="Embed" ProgID="Equation.DSMT4" ShapeID="_x0000_i1025" DrawAspect="Content" ObjectID="_1722897233" r:id="rId18"/>
        </w:object>
      </w:r>
      <w:r>
        <w:rPr>
          <w:noProof/>
          <w:position w:val="-28"/>
          <w:sz w:val="16"/>
        </w:rPr>
        <w:object w:dxaOrig="1866" w:dyaOrig="531" w14:anchorId="26D4C134">
          <v:shape id="_x0000_i1026" type="#_x0000_t75" alt="" style="width:93.85pt;height:25.5pt;mso-width-percent:0;mso-height-percent:0;mso-width-percent:0;mso-height-percent:0" o:ole="">
            <v:imagedata r:id="rId19" o:title=""/>
          </v:shape>
          <o:OLEObject Type="Embed" ProgID="Equation.DSMT4" ShapeID="_x0000_i1026" DrawAspect="Content" ObjectID="_1722897234"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Samsung [17]: There are 4 beams in the vertical direction with 6-degree step, and 8 beams in the horizontal direction </w:t>
      </w:r>
      <w:r>
        <w:rPr>
          <w:rFonts w:eastAsia="微软雅黑"/>
          <w:sz w:val="18"/>
          <w:szCs w:val="18"/>
          <w:lang w:val="en-GB"/>
        </w:rPr>
        <w:lastRenderedPageBreak/>
        <w:t>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DoCoMo [26]: TxRU=2, 64 beams are assumed(H(16)*V(4))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r>
        <w:rPr>
          <w:sz w:val="18"/>
          <w:szCs w:val="18"/>
        </w:rPr>
        <w:t xml:space="preserve">CEWiT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lastRenderedPageBreak/>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lastRenderedPageBreak/>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lastRenderedPageBreak/>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w:t>
            </w:r>
            <w:r w:rsidRPr="008A0D47">
              <w:rPr>
                <w:rFonts w:eastAsia="MS Mincho"/>
                <w:kern w:val="0"/>
                <w:lang w:eastAsia="ja-JP"/>
              </w:rPr>
              <w:lastRenderedPageBreak/>
              <w:t>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lastRenderedPageBreak/>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 xml:space="preserve">Observation 2: For BM-Case1, a “sparse” Set B, or a random Set B pattern design, may cause throughput loss, </w:t>
      </w:r>
      <w:r>
        <w:rPr>
          <w:sz w:val="18"/>
          <w:szCs w:val="18"/>
          <w:lang w:eastAsia="en-US"/>
        </w:rPr>
        <w:lastRenderedPageBreak/>
        <w:t>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 xml:space="preserve">For example, in our evaluation result [22], we observed that by using the multi-arm beam design in Set B, the AI/ML model can perform better </w:t>
            </w:r>
            <w:r>
              <w:rPr>
                <w:rFonts w:eastAsia="PMingLiU"/>
                <w:lang w:eastAsia="zh-TW"/>
              </w:rPr>
              <w:lastRenderedPageBreak/>
              <w:t>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lastRenderedPageBreak/>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lastRenderedPageBreak/>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w:t>
      </w:r>
      <w:r>
        <w:rPr>
          <w:b/>
          <w:bCs/>
        </w:rPr>
        <w:lastRenderedPageBreak/>
        <w:t xml:space="preserve">(pairs)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52817A7D"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3"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lastRenderedPageBreak/>
        <w:t>Align the assumption on SSB/CSI-RS patterns in time domain at least for temporal beam prediction.</w:t>
      </w:r>
      <w:bookmarkEnd w:id="13"/>
    </w:p>
    <w:p w14:paraId="173C454A" w14:textId="77777777" w:rsidR="00F528DC" w:rsidRDefault="00CC5F6F">
      <w:pPr>
        <w:pStyle w:val="af9"/>
        <w:widowControl/>
        <w:numPr>
          <w:ilvl w:val="1"/>
          <w:numId w:val="32"/>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5"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5"/>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w:t>
      </w:r>
      <w:r>
        <w:rPr>
          <w:sz w:val="18"/>
          <w:szCs w:val="18"/>
        </w:rPr>
        <w:lastRenderedPageBreak/>
        <w:t>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6"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6"/>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 xml:space="preserve">e are wondering whether it is feasible for a RAN node to acquire the </w:t>
            </w:r>
            <w:r>
              <w:rPr>
                <w:rFonts w:eastAsiaTheme="minorEastAsia"/>
                <w:kern w:val="0"/>
                <w:lang w:eastAsia="zh-CN"/>
              </w:rPr>
              <w:lastRenderedPageBreak/>
              <w:t>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Huawei/HiSi[2]:</w:t>
      </w:r>
    </w:p>
    <w:p w14:paraId="173C45C3" w14:textId="77777777" w:rsidR="00F528DC" w:rsidRDefault="00CC5F6F">
      <w:pPr>
        <w:pStyle w:val="af9"/>
        <w:numPr>
          <w:ilvl w:val="1"/>
          <w:numId w:val="35"/>
        </w:numPr>
        <w:rPr>
          <w:sz w:val="18"/>
          <w:szCs w:val="18"/>
        </w:rPr>
      </w:pPr>
      <w:bookmarkStart w:id="17" w:name="_Ref111192804"/>
      <w:r>
        <w:rPr>
          <w:sz w:val="18"/>
          <w:szCs w:val="18"/>
        </w:rPr>
        <w:lastRenderedPageBreak/>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14:paraId="173C45C4" w14:textId="77777777" w:rsidR="00F528DC" w:rsidRDefault="00CC5F6F">
      <w:pPr>
        <w:pStyle w:val="af9"/>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9"/>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9"/>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9"/>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9"/>
        <w:numPr>
          <w:ilvl w:val="1"/>
          <w:numId w:val="35"/>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14:paraId="173C45C9" w14:textId="77777777" w:rsidR="00F528DC" w:rsidRDefault="00CC5F6F">
      <w:pPr>
        <w:pStyle w:val="af9"/>
        <w:numPr>
          <w:ilvl w:val="2"/>
          <w:numId w:val="35"/>
        </w:numPr>
        <w:rPr>
          <w:sz w:val="18"/>
          <w:szCs w:val="18"/>
        </w:rPr>
      </w:pPr>
      <w:r>
        <w:rPr>
          <w:sz w:val="18"/>
          <w:szCs w:val="18"/>
        </w:rPr>
        <w:t>Various channel types, including UMa, UMi, InH</w:t>
      </w:r>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Various channel types, including UMa, UMi,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lastRenderedPageBreak/>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14:paraId="173C45E2" w14:textId="77777777" w:rsidR="00F528DC" w:rsidRDefault="00CC5F6F">
      <w:pPr>
        <w:pStyle w:val="af9"/>
        <w:numPr>
          <w:ilvl w:val="1"/>
          <w:numId w:val="35"/>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lastRenderedPageBreak/>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9"/>
              <w:numPr>
                <w:ilvl w:val="0"/>
                <w:numId w:val="11"/>
              </w:numPr>
              <w:rPr>
                <w:kern w:val="0"/>
              </w:rPr>
            </w:pPr>
            <w:r>
              <w:rPr>
                <w:kern w:val="0"/>
              </w:rPr>
              <w:t>Different UE speeds can be 30, 60, 90, etc,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1"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w:t>
            </w:r>
            <w:r w:rsidRPr="00F304D5">
              <w:rPr>
                <w:rFonts w:eastAsia="MS Mincho"/>
                <w:kern w:val="0"/>
                <w:lang w:val="en-GB" w:eastAsia="ja-JP"/>
              </w:rPr>
              <w:lastRenderedPageBreak/>
              <w:t>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1"/>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r w:rsidRPr="00B96655">
              <w:rPr>
                <w:rFonts w:eastAsiaTheme="minorEastAsia"/>
                <w:kern w:val="0"/>
              </w:rPr>
              <w:lastRenderedPageBreak/>
              <w:t>UMa, UMi,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 xml:space="preserve">To verify the generalization of AI/ML models on </w:t>
            </w:r>
            <w:r w:rsidRPr="00B96655">
              <w:rPr>
                <w:rFonts w:eastAsiaTheme="minorEastAsia"/>
                <w:kern w:val="0"/>
              </w:rPr>
              <w:lastRenderedPageBreak/>
              <w:t>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lastRenderedPageBreak/>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lastRenderedPageBreak/>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 xml:space="preserve">To investigate the model generalization capability, at least the following aspect(s) are considered for the evaluation for AI/ML </w:t>
      </w:r>
      <w:r w:rsidRPr="00112D43">
        <w:rPr>
          <w:b/>
          <w:color w:val="FF0000"/>
        </w:rPr>
        <w:t>in beam management</w:t>
      </w:r>
      <w:r w:rsidRPr="00112D43">
        <w:rPr>
          <w:b/>
          <w:color w:val="FF0000"/>
        </w:rPr>
        <w: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60536CD8" w:rsidR="007861E9" w:rsidRPr="00F03EBC" w:rsidRDefault="00B70FE8" w:rsidP="007D0719">
            <w:pPr>
              <w:rPr>
                <w:rFonts w:eastAsiaTheme="minorEastAsia"/>
                <w:lang w:eastAsia="zh-CN"/>
              </w:rPr>
            </w:pPr>
            <w:r>
              <w:rPr>
                <w:rFonts w:eastAsiaTheme="minorEastAsia" w:hint="eastAsia"/>
                <w:lang w:eastAsia="zh-CN"/>
              </w:rPr>
              <w:t>CATT</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lastRenderedPageBreak/>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lastRenderedPageBreak/>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w:t>
            </w:r>
            <w:r>
              <w:lastRenderedPageBreak/>
              <w:t xml:space="preserve">is within 1dB of the ideal L1-RSRP of the Top-1 genie-aided beam” </w:t>
            </w:r>
          </w:p>
        </w:tc>
        <w:tc>
          <w:tcPr>
            <w:tcW w:w="2631" w:type="dxa"/>
          </w:tcPr>
          <w:p w14:paraId="173C4695" w14:textId="77777777" w:rsidR="00F528DC" w:rsidRDefault="00CC5F6F">
            <w:r>
              <w:lastRenderedPageBreak/>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 xml:space="preserve">average L1-RSRP difference between the ideal L1-RSRP of the Top-1 genie-aided beam and the ideal L1-RSRP of the Top-K genie-aided beams in the (testing) dataset </w:t>
      </w:r>
      <w:bookmarkEnd w:id="22"/>
      <w:r>
        <w:t xml:space="preserve">is known.  </w:t>
      </w:r>
    </w:p>
    <w:p w14:paraId="173C46A4" w14:textId="77777777" w:rsidR="00F528DC" w:rsidRDefault="00CC5F6F">
      <w:pPr>
        <w:pStyle w:val="af9"/>
        <w:numPr>
          <w:ilvl w:val="0"/>
          <w:numId w:val="40"/>
        </w:numPr>
      </w:pPr>
      <w:bookmarkStart w:id="23" w:name="_Ref111192963"/>
      <w:r>
        <w:t>Huawei [2]</w:t>
      </w:r>
    </w:p>
    <w:p w14:paraId="173C46A5" w14:textId="77777777" w:rsidR="00F528DC" w:rsidRDefault="00CC5F6F">
      <w:pPr>
        <w:pStyle w:val="af9"/>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14:paraId="173C46A6" w14:textId="77777777" w:rsidR="00F528DC" w:rsidRDefault="00CC5F6F">
      <w:pPr>
        <w:pStyle w:val="af9"/>
        <w:numPr>
          <w:ilvl w:val="1"/>
          <w:numId w:val="40"/>
        </w:numPr>
      </w:pPr>
      <w:bookmarkStart w:id="24" w:name="_Ref111193022"/>
      <w:r>
        <w:t xml:space="preserve">Proposal </w:t>
      </w:r>
      <w:fldSimple w:instr=" SEQ Proposal \* ARABIC ">
        <w:r>
          <w:t>14</w:t>
        </w:r>
      </w:fldSimple>
      <w:r>
        <w:t>: For temporal beam prediction evaluation, results for Top-K, K&gt;1 should be presented in addition to Top-1 results.</w:t>
      </w:r>
      <w:bookmarkEnd w:id="24"/>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 xml:space="preserve">the difference between the highest ideal L1-RSRP of the Top-K predicted beam and the ideal </w:t>
      </w:r>
      <w:r>
        <w:lastRenderedPageBreak/>
        <w:t>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lastRenderedPageBreak/>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Support Avg. and 5% UE tput for system performance KPIs.</w:t>
      </w:r>
    </w:p>
    <w:p w14:paraId="173C46F0" w14:textId="77777777" w:rsidR="00F528DC" w:rsidRDefault="00CC5F6F">
      <w:pPr>
        <w:pStyle w:val="af9"/>
        <w:numPr>
          <w:ilvl w:val="0"/>
          <w:numId w:val="40"/>
        </w:numPr>
      </w:pPr>
      <w:bookmarkStart w:id="25" w:name="_Ref111199105"/>
      <w:r>
        <w:t>Samsung [17]: Proposal 8: Shannon capacity-based simplified model for UPT can be further considered as additional system performance related KPI.</w:t>
      </w:r>
      <w:bookmarkEnd w:id="25"/>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w:t>
            </w:r>
            <w:r>
              <w:rPr>
                <w:rFonts w:eastAsiaTheme="minorEastAsia" w:hint="eastAsia"/>
                <w:lang w:eastAsia="zh-CN"/>
              </w:rPr>
              <w:lastRenderedPageBreak/>
              <w:t xml:space="preserve">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bl>
    <w:p w14:paraId="2A70D4EC" w14:textId="77777777"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w:t>
            </w:r>
            <w:r>
              <w:rPr>
                <w:rFonts w:eastAsia="MS Mincho"/>
                <w:kern w:val="0"/>
                <w:lang w:eastAsia="ja-JP"/>
              </w:rPr>
              <w:lastRenderedPageBreak/>
              <w:t>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lastRenderedPageBreak/>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27" w:name="_Toc101462020"/>
      <w:bookmarkStart w:id="28" w:name="_Toc101462246"/>
      <w:bookmarkStart w:id="29" w:name="_Toc101462385"/>
      <w:bookmarkStart w:id="30" w:name="_Toc102079222"/>
      <w:bookmarkStart w:id="31" w:name="_Toc101462364"/>
      <w:bookmarkStart w:id="32" w:name="_Toc102043799"/>
      <w:bookmarkStart w:id="33" w:name="_Toc102030984"/>
      <w:bookmarkStart w:id="34" w:name="_Toc102031785"/>
      <w:r>
        <w:rPr>
          <w:sz w:val="18"/>
          <w:szCs w:val="18"/>
        </w:rPr>
        <w:t>Lenovo [11]: Complexity of the proposed AI/ML model should be evaluated for every phase in the model lifecycle, namely, training, inference and update.</w:t>
      </w:r>
      <w:bookmarkEnd w:id="27"/>
      <w:bookmarkEnd w:id="28"/>
      <w:bookmarkEnd w:id="29"/>
      <w:bookmarkEnd w:id="30"/>
      <w:bookmarkEnd w:id="31"/>
      <w:bookmarkEnd w:id="32"/>
      <w:bookmarkEnd w:id="33"/>
      <w:bookmarkEnd w:id="34"/>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5" w:name="_Ref111199106"/>
      <w:r>
        <w:rPr>
          <w:iCs/>
          <w:sz w:val="18"/>
          <w:szCs w:val="18"/>
        </w:rPr>
        <w:t>Proposal # 9:  For the use case of AI/ML based beam management, at least the following capability-related KPI shall be considered:</w:t>
      </w:r>
      <w:bookmarkEnd w:id="35"/>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lastRenderedPageBreak/>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6"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6"/>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7"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7"/>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8"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8"/>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r w:rsidR="004F23E8">
              <w:rPr>
                <w:rFonts w:eastAsia="宋体"/>
                <w:lang w:eastAsia="zh-CN"/>
              </w:rPr>
              <w:t>Fujitsu</w:t>
            </w:r>
            <w:r w:rsidR="00067775">
              <w:rPr>
                <w:rFonts w:eastAsia="宋体"/>
                <w:lang w:eastAsia="zh-CN"/>
              </w:rPr>
              <w:t>,CMCC</w:t>
            </w:r>
            <w:proofErr w:type="spell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w:t>
            </w:r>
            <w:r>
              <w:rPr>
                <w:color w:val="4472C4" w:themeColor="accent5"/>
                <w:kern w:val="0"/>
              </w:rPr>
              <w:lastRenderedPageBreak/>
              <w:t xml:space="preserve">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lastRenderedPageBreak/>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lastRenderedPageBreak/>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r>
        <w:rPr>
          <w:sz w:val="18"/>
          <w:szCs w:val="18"/>
        </w:rPr>
        <w:t>CEWiT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 xml:space="preserve">With AI/ML-based Top-3 prediction, the overhead compared to the legacy Baseline approach can be further reduced </w:t>
      </w:r>
      <w:r>
        <w:rPr>
          <w:sz w:val="18"/>
          <w:szCs w:val="18"/>
          <w:lang w:eastAsia="en-US"/>
        </w:rPr>
        <w:lastRenderedPageBreak/>
        <w:t>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lastRenderedPageBreak/>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lastRenderedPageBreak/>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0"/>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1"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1"/>
    </w:p>
    <w:p w14:paraId="173C487C" w14:textId="77777777" w:rsidR="00F528DC" w:rsidRDefault="00CC5F6F">
      <w:pPr>
        <w:pStyle w:val="af9"/>
        <w:numPr>
          <w:ilvl w:val="1"/>
          <w:numId w:val="40"/>
        </w:numPr>
        <w:rPr>
          <w:sz w:val="18"/>
          <w:szCs w:val="18"/>
          <w:lang w:eastAsia="en-US"/>
        </w:rPr>
      </w:pPr>
      <w:r>
        <w:rPr>
          <w:sz w:val="18"/>
          <w:szCs w:val="18"/>
          <w:lang w:eastAsia="en-US"/>
        </w:rPr>
        <w:lastRenderedPageBreak/>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 xml:space="preserve">Observation # 8: For time and spatial domain prediction, AI can provide better performance in terms of beam prediction </w:t>
      </w:r>
      <w:r>
        <w:rPr>
          <w:sz w:val="18"/>
          <w:szCs w:val="18"/>
          <w:lang w:eastAsia="en-US"/>
        </w:rPr>
        <w:lastRenderedPageBreak/>
        <w:t>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FB1D0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FB1D04">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FB1D04">
            <w:pPr>
              <w:rPr>
                <w:rFonts w:eastAsia="Microsoft YaHei UI"/>
                <w:color w:val="000000"/>
              </w:rPr>
            </w:pPr>
            <w:r w:rsidRPr="00D16984">
              <w:rPr>
                <w:rFonts w:eastAsia="Microsoft YaHei UI"/>
                <w:b/>
                <w:bCs/>
                <w:color w:val="000000"/>
              </w:rPr>
              <w:t>Values</w:t>
            </w:r>
          </w:p>
        </w:tc>
      </w:tr>
      <w:tr w:rsidR="00112D43" w:rsidRPr="00D16984" w14:paraId="1931DA18"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FB1D04">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FB1D04">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lastRenderedPageBreak/>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AE6E2A">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AE6E2A">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AE6E2A">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lastRenderedPageBreak/>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9"/>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8pt;height:116.65pt;mso-width-percent:0;mso-height-percent:0;mso-width-percent:0;mso-height-percent:0" o:ole="">
            <v:imagedata r:id="rId50" o:title=""/>
          </v:shape>
          <o:OLEObject Type="Embed" ProgID="Visio.Drawing.15" ShapeID="_x0000_i1027" DrawAspect="Content" ObjectID="_1722897235"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lastRenderedPageBreak/>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64F0" w14:textId="77777777" w:rsidR="00AE6E2A" w:rsidRDefault="00AE6E2A" w:rsidP="006A624C">
      <w:r>
        <w:separator/>
      </w:r>
    </w:p>
  </w:endnote>
  <w:endnote w:type="continuationSeparator" w:id="0">
    <w:p w14:paraId="5174C774" w14:textId="77777777" w:rsidR="00AE6E2A" w:rsidRDefault="00AE6E2A"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8C5A" w14:textId="77777777" w:rsidR="00AE6E2A" w:rsidRDefault="00AE6E2A" w:rsidP="006A624C">
      <w:r>
        <w:separator/>
      </w:r>
    </w:p>
  </w:footnote>
  <w:footnote w:type="continuationSeparator" w:id="0">
    <w:p w14:paraId="1519ADDD" w14:textId="77777777" w:rsidR="00AE6E2A" w:rsidRDefault="00AE6E2A"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6E2A"/>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683F71-A439-4E6A-861E-6D591724B916}">
  <ds:schemaRefs>
    <ds:schemaRef ds:uri="http://schemas.openxmlformats.org/officeDocument/2006/bibliography"/>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30764</Words>
  <Characters>175357</Characters>
  <Application>Microsoft Office Word</Application>
  <DocSecurity>0</DocSecurity>
  <Lines>1461</Lines>
  <Paragraphs>411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4</cp:revision>
  <dcterms:created xsi:type="dcterms:W3CDTF">2022-08-24T17:43:00Z</dcterms:created>
  <dcterms:modified xsi:type="dcterms:W3CDTF">2022-08-24T17:47:00Z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