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B22AF1">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w:t>
            </w:r>
            <w:r>
              <w:lastRenderedPageBreak/>
              <w:t>length 4), 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ListParagraph"/>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r w:rsidRPr="00DF524D">
        <w:rPr>
          <w:rFonts w:eastAsiaTheme="minorEastAsia"/>
          <w:b/>
          <w:bCs/>
          <w:lang w:val="en-US" w:eastAsia="ja-JP"/>
        </w:rPr>
        <w:t>Spreadtrum</w:t>
      </w:r>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r w:rsidRPr="00DF524D">
        <w:rPr>
          <w:rFonts w:eastAsiaTheme="minorEastAsia"/>
          <w:b/>
          <w:bCs/>
          <w:lang w:val="en-US" w:eastAsia="ja-JP"/>
        </w:rPr>
        <w:t>HiSilicon</w:t>
      </w:r>
      <w:r>
        <w:rPr>
          <w:rFonts w:eastAsiaTheme="minorEastAsia"/>
          <w:b/>
          <w:bCs/>
          <w:lang w:val="en-US" w:eastAsia="ja-JP"/>
        </w:rPr>
        <w:t xml:space="preserve">, </w:t>
      </w:r>
      <w:r w:rsidRPr="00DF524D">
        <w:rPr>
          <w:rFonts w:eastAsiaTheme="minorEastAsia"/>
          <w:b/>
          <w:bCs/>
          <w:lang w:val="en-US" w:eastAsia="ja-JP"/>
        </w:rPr>
        <w:t>InterDigital</w:t>
      </w:r>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r>
              <w:rPr>
                <w:rFonts w:ascii="Times New Roman" w:eastAsia="SimSun"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ListParagraph"/>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(e.g. 4 or 6)).</w:t>
            </w:r>
          </w:p>
          <w:p w14:paraId="037A56FF" w14:textId="77777777" w:rsidR="00A6202D" w:rsidRPr="00A6202D" w:rsidRDefault="00A6202D" w:rsidP="00A6202D">
            <w:pPr>
              <w:pStyle w:val="ListParagraph"/>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ListParagraph"/>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FFS: Whether it is needed to handle potential performance issues of Opt 1. For example, study if there is performance loss in case of large delay spread scenario. If needed, how (e.g.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B22AF1">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B22AF1">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ListParagraph"/>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77777777" w:rsidR="005E5A09" w:rsidRPr="00072EC3" w:rsidRDefault="005E5A09" w:rsidP="00960753">
            <w:pPr>
              <w:spacing w:after="0"/>
              <w:rPr>
                <w:rFonts w:eastAsia="DengXian"/>
                <w:lang w:val="en-US" w:eastAsia="zh-CN"/>
              </w:rPr>
            </w:pPr>
          </w:p>
        </w:tc>
        <w:tc>
          <w:tcPr>
            <w:tcW w:w="8690" w:type="dxa"/>
          </w:tcPr>
          <w:p w14:paraId="10F87349" w14:textId="77777777" w:rsidR="005E5A09" w:rsidRDefault="005E5A09"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(e.g. gNB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REs.</w:t>
            </w:r>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FL note: To be discussed after/if Opt.1-2 of FL proposal #3.2.1 (FD-OCC length = 4) will be agreed for Rel.18 enh.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ListParagraph"/>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ListParagraph"/>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ListParagraph"/>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Pr="00D21ED0" w:rsidRDefault="007F6D8C">
      <w:pPr>
        <w:pStyle w:val="ListParagraph"/>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gNB can dynamically pair with Rel.15 UE or Rel.18 UE in MU-MIMO. </w:t>
      </w:r>
      <w:r w:rsidR="00896855">
        <w:rPr>
          <w:rFonts w:eastAsiaTheme="minorEastAsia"/>
          <w:sz w:val="22"/>
          <w:szCs w:val="22"/>
          <w:lang w:eastAsia="ja-JP"/>
        </w:rPr>
        <w:t>Also, when the large number of DMRS ports is not needed for a scheduled PDSCH/PUSCH, gNB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enh.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eastAsia="ja-JP"/>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B06891B1-1EA3-76DE-8FDA-822C76C229B9}"/>
                        </a:ext>
                      </a:extLst>
                    </pic:cNvPr>
                    <pic:cNvPicPr>
                      <a:picLocks noChangeAspect="1"/>
                    </pic:cNvPicPr>
                  </pic:nvPicPr>
                  <pic:blipFill>
                    <a:blip r:embed="rId25"/>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2BD3DB62" w14:textId="77777777" w:rsidR="00D21ED0" w:rsidRDefault="00D21ED0" w:rsidP="00D21ED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TableGrid"/>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3E28068" w:rsidR="006C6BB0" w:rsidRPr="00072EC3" w:rsidRDefault="0091528F" w:rsidP="006C6BB0">
            <w:pPr>
              <w:spacing w:after="0"/>
              <w:rPr>
                <w:rFonts w:eastAsia="DengXian"/>
                <w:lang w:val="en-US" w:eastAsia="zh-CN"/>
              </w:rPr>
            </w:pPr>
            <w:r>
              <w:rPr>
                <w:rFonts w:eastAsia="DengXian"/>
                <w:lang w:val="en-US" w:eastAsia="zh-CN"/>
              </w:rPr>
              <w:t>MediaTek</w:t>
            </w:r>
          </w:p>
        </w:tc>
        <w:tc>
          <w:tcPr>
            <w:tcW w:w="8690" w:type="dxa"/>
          </w:tcPr>
          <w:p w14:paraId="763C7CBA" w14:textId="7A49FE9A" w:rsidR="0091528F" w:rsidRDefault="00E01FA2" w:rsidP="006C6BB0">
            <w:pPr>
              <w:spacing w:after="0"/>
              <w:rPr>
                <w:rFonts w:eastAsiaTheme="minorEastAsia"/>
                <w:lang w:val="en-US" w:eastAsia="ja-JP"/>
              </w:rPr>
            </w:pPr>
            <w:r>
              <w:rPr>
                <w:rFonts w:eastAsiaTheme="minorEastAsia"/>
                <w:lang w:val="en-US" w:eastAsia="ja-JP"/>
              </w:rPr>
              <w:t xml:space="preserve">Thank you for the further clarification. </w:t>
            </w:r>
            <w:r w:rsidR="0091528F">
              <w:rPr>
                <w:rFonts w:eastAsiaTheme="minorEastAsia"/>
                <w:lang w:val="en-US" w:eastAsia="ja-JP"/>
              </w:rPr>
              <w:t xml:space="preserve">Generally, we don’t think such dynamic DCI-based switching between </w:t>
            </w:r>
            <w:r w:rsidR="00E61EB5">
              <w:rPr>
                <w:rFonts w:eastAsiaTheme="minorEastAsia"/>
                <w:lang w:val="en-US" w:eastAsia="ja-JP"/>
              </w:rPr>
              <w:t>different FD-OCC lengths (i.e., R15 and R18 DMRS)</w:t>
            </w:r>
            <w:r w:rsidR="0091528F">
              <w:rPr>
                <w:rFonts w:eastAsiaTheme="minorEastAsia"/>
                <w:lang w:val="en-US" w:eastAsia="ja-JP"/>
              </w:rPr>
              <w:t xml:space="preserve"> would be needed </w:t>
            </w:r>
            <w:r w:rsidR="00DF0A75">
              <w:rPr>
                <w:rFonts w:eastAsiaTheme="minorEastAsia"/>
                <w:lang w:val="en-US" w:eastAsia="ja-JP"/>
              </w:rPr>
              <w:t>as we can’t identify a</w:t>
            </w:r>
            <w:r w:rsidR="00E61EB5">
              <w:rPr>
                <w:rFonts w:eastAsiaTheme="minorEastAsia"/>
                <w:lang w:val="en-US" w:eastAsia="ja-JP"/>
              </w:rPr>
              <w:t xml:space="preserve"> practical</w:t>
            </w:r>
            <w:r w:rsidR="00DF0A75">
              <w:rPr>
                <w:rFonts w:eastAsiaTheme="minorEastAsia"/>
                <w:lang w:val="en-US" w:eastAsia="ja-JP"/>
              </w:rPr>
              <w:t xml:space="preserve"> scenario </w:t>
            </w:r>
            <w:r w:rsidR="00E61EB5">
              <w:rPr>
                <w:rFonts w:eastAsiaTheme="minorEastAsia"/>
                <w:lang w:val="en-US" w:eastAsia="ja-JP"/>
              </w:rPr>
              <w:t>for its use case of frequent DMRS mode switching</w:t>
            </w:r>
            <w:r w:rsidR="00DF0A75">
              <w:rPr>
                <w:rFonts w:eastAsiaTheme="minorEastAsia"/>
                <w:lang w:val="en-US" w:eastAsia="ja-JP"/>
              </w:rPr>
              <w:t xml:space="preserve">. </w:t>
            </w:r>
            <w:r w:rsidR="0091528F">
              <w:rPr>
                <w:rFonts w:eastAsiaTheme="minorEastAsia"/>
                <w:lang w:val="en-US" w:eastAsia="ja-JP"/>
              </w:rPr>
              <w:t>We believe an RRC based switch would be sufficient</w:t>
            </w:r>
            <w:r w:rsidR="00DF0A75">
              <w:rPr>
                <w:rFonts w:eastAsiaTheme="minorEastAsia"/>
                <w:lang w:val="en-US" w:eastAsia="ja-JP"/>
              </w:rPr>
              <w:t xml:space="preserve"> for this purpose</w:t>
            </w:r>
            <w:r w:rsidR="0091528F">
              <w:rPr>
                <w:rFonts w:eastAsiaTheme="minorEastAsia"/>
                <w:lang w:val="en-US" w:eastAsia="ja-JP"/>
              </w:rPr>
              <w:t xml:space="preserve">.  </w:t>
            </w:r>
          </w:p>
        </w:tc>
      </w:tr>
      <w:tr w:rsidR="006C6BB0" w14:paraId="59F9E1B8" w14:textId="77777777" w:rsidTr="00960753">
        <w:trPr>
          <w:trHeight w:val="60"/>
        </w:trPr>
        <w:tc>
          <w:tcPr>
            <w:tcW w:w="1795" w:type="dxa"/>
          </w:tcPr>
          <w:p w14:paraId="0891BA6D" w14:textId="119E0946" w:rsidR="006C6BB0" w:rsidRDefault="006C6BB0" w:rsidP="006C6BB0">
            <w:pPr>
              <w:spacing w:after="0"/>
              <w:rPr>
                <w:rFonts w:eastAsia="Malgun Gothic"/>
                <w:lang w:val="en-US" w:eastAsia="ko-KR"/>
              </w:rPr>
            </w:pPr>
          </w:p>
        </w:tc>
        <w:tc>
          <w:tcPr>
            <w:tcW w:w="8690" w:type="dxa"/>
          </w:tcPr>
          <w:p w14:paraId="59A9965A" w14:textId="44692ADC" w:rsidR="006C6BB0" w:rsidRDefault="006C6BB0" w:rsidP="006C6BB0">
            <w:pPr>
              <w:spacing w:after="0"/>
              <w:rPr>
                <w:rFonts w:eastAsiaTheme="minorEastAsia"/>
                <w:lang w:val="en-US" w:eastAsia="ja-JP"/>
              </w:rPr>
            </w:pPr>
          </w:p>
        </w:tc>
      </w:tr>
      <w:tr w:rsidR="006C6BB0" w14:paraId="237B8DF7" w14:textId="77777777" w:rsidTr="00960753">
        <w:trPr>
          <w:trHeight w:val="60"/>
        </w:trPr>
        <w:tc>
          <w:tcPr>
            <w:tcW w:w="1795" w:type="dxa"/>
          </w:tcPr>
          <w:p w14:paraId="625546AE" w14:textId="1E841F4A" w:rsidR="006C6BB0" w:rsidRPr="003B350C" w:rsidRDefault="006C6BB0" w:rsidP="006C6BB0">
            <w:pPr>
              <w:spacing w:after="0"/>
              <w:rPr>
                <w:rFonts w:eastAsiaTheme="minorEastAsia"/>
                <w:lang w:val="en-US" w:eastAsia="ja-JP"/>
              </w:rPr>
            </w:pPr>
          </w:p>
        </w:tc>
        <w:tc>
          <w:tcPr>
            <w:tcW w:w="8690" w:type="dxa"/>
          </w:tcPr>
          <w:p w14:paraId="7C855E32" w14:textId="76D6839D" w:rsidR="006C6BB0" w:rsidRDefault="006C6BB0" w:rsidP="006C6BB0">
            <w:pPr>
              <w:spacing w:after="0"/>
              <w:rPr>
                <w:rFonts w:eastAsiaTheme="minorEastAsia"/>
                <w:lang w:val="en-US" w:eastAsia="ja-JP"/>
              </w:rPr>
            </w:pP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DengXian"/>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lastRenderedPageBreak/>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4" w:name="_Hlk111710477"/>
      <w:r>
        <w:rPr>
          <w:rFonts w:eastAsiaTheme="minorEastAsia"/>
          <w:sz w:val="22"/>
          <w:szCs w:val="22"/>
          <w:lang w:eastAsia="ja-JP"/>
        </w:rPr>
        <w:t>AI 9.1.4.2</w:t>
      </w:r>
      <w:bookmarkEnd w:id="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DengXian"/>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 xml:space="preserve">and/or </w:t>
      </w:r>
      <w:r>
        <w:rPr>
          <w:rFonts w:ascii="Times New Roman" w:eastAsiaTheme="minorEastAsia" w:hAnsi="Times New Roman"/>
          <w:b/>
          <w:bCs/>
          <w:lang w:eastAsia="ja-JP"/>
        </w:rPr>
        <w:t xml:space="preserve"> DCI.</w:t>
      </w:r>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lastRenderedPageBreak/>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DengXian"/>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5" w:name="_Hlk111715501"/>
      <w:r>
        <w:rPr>
          <w:rFonts w:ascii="Times New Roman" w:eastAsiaTheme="minorEastAsia" w:hAnsi="Times New Roman"/>
          <w:b/>
          <w:bCs/>
          <w:lang w:eastAsia="ja-JP"/>
        </w:rPr>
        <w:t>for rank = 5, …, M</w:t>
      </w:r>
      <w:bookmarkEnd w:id="5"/>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B22AF1">
            <w:pPr>
              <w:overflowPunct/>
              <w:autoSpaceDE/>
              <w:autoSpaceDN/>
              <w:adjustRightInd/>
              <w:spacing w:after="0" w:line="240" w:lineRule="auto"/>
              <w:textAlignment w:val="auto"/>
              <w:rPr>
                <w:rFonts w:eastAsia="MS PGothic"/>
                <w:color w:val="000000"/>
                <w:lang w:val="en-US" w:eastAsia="ja-JP"/>
              </w:rPr>
            </w:pPr>
            <w:hyperlink r:id="rId50"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B22AF1">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1"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6" w:name="_Hlk111711985"/>
            <w:r>
              <w:rPr>
                <w:rFonts w:eastAsia="MS Gothic"/>
                <w:lang w:val="en-US"/>
              </w:rPr>
              <w:t>Study the following potential DMRS enhancement for potential support of more than 4 layers SU-MIMO PUSCH.</w:t>
            </w:r>
            <w:bookmarkEnd w:id="6"/>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4"/>
      <w:footerReference w:type="even" r:id="rId55"/>
      <w:footerReference w:type="default" r:id="rI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54B1" w14:textId="77777777" w:rsidR="00B22AF1" w:rsidRDefault="00B22AF1">
      <w:pPr>
        <w:spacing w:after="0" w:line="240" w:lineRule="auto"/>
      </w:pPr>
      <w:r>
        <w:separator/>
      </w:r>
    </w:p>
  </w:endnote>
  <w:endnote w:type="continuationSeparator" w:id="0">
    <w:p w14:paraId="05617560" w14:textId="77777777" w:rsidR="00B22AF1" w:rsidRDefault="00B2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F975" w14:textId="77777777" w:rsidR="00B22AF1" w:rsidRDefault="00B22AF1">
      <w:pPr>
        <w:spacing w:after="0" w:line="240" w:lineRule="auto"/>
      </w:pPr>
      <w:r>
        <w:separator/>
      </w:r>
    </w:p>
  </w:footnote>
  <w:footnote w:type="continuationSeparator" w:id="0">
    <w:p w14:paraId="2E1AECE1" w14:textId="77777777" w:rsidR="00B22AF1" w:rsidRDefault="00B22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7"/>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5"/>
  </w:num>
  <w:num w:numId="18">
    <w:abstractNumId w:val="38"/>
  </w:num>
  <w:num w:numId="19">
    <w:abstractNumId w:val="36"/>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png"/><Relationship Id="rId39" Type="http://schemas.openxmlformats.org/officeDocument/2006/relationships/hyperlink" Target="https://www.3gpp.org/ftp/TSG_RAN/WG1_RL1/TSGR1_110/Docs/R1-220657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90.zip" TargetMode="External"/><Relationship Id="rId42" Type="http://schemas.openxmlformats.org/officeDocument/2006/relationships/hyperlink" Target="https://www.3gpp.org/ftp/TSG_RAN/WG1_RL1/TSGR1_110/Docs/R1-2206869.zip" TargetMode="External"/><Relationship Id="rId47" Type="http://schemas.openxmlformats.org/officeDocument/2006/relationships/hyperlink" Target="https://www.3gpp.org/ftp/TSG_RAN/WG1_RL1/TSGR1_110/Docs/R1-2207218.zip" TargetMode="External"/><Relationship Id="rId50" Type="http://schemas.openxmlformats.org/officeDocument/2006/relationships/hyperlink" Target="https://www.3gpp.org/ftp/TSG_RAN/WG1_RL1/TSGR1_110/Docs/R1-220745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882.zip" TargetMode="Externa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027.zip" TargetMode="External"/><Relationship Id="rId37" Type="http://schemas.openxmlformats.org/officeDocument/2006/relationships/hyperlink" Target="https://www.3gpp.org/ftp/TSG_RAN/WG1_RL1/TSGR1_110/Docs/R1-2206378.zip" TargetMode="External"/><Relationship Id="rId40" Type="http://schemas.openxmlformats.org/officeDocument/2006/relationships/hyperlink" Target="https://www.3gpp.org/ftp/TSG_RAN/WG1_RL1/TSGR1_110/Docs/R1-2206623.zip" TargetMode="External"/><Relationship Id="rId45" Type="http://schemas.openxmlformats.org/officeDocument/2006/relationships/hyperlink" Target="https://www.3gpp.org/ftp/TSG_RAN/WG1_RL1/TSGR1_110/Docs/R1-2206993.zip" TargetMode="External"/><Relationship Id="rId53" Type="http://schemas.openxmlformats.org/officeDocument/2006/relationships/image" Target="media/image16.pn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749.zip" TargetMode="External"/><Relationship Id="rId30" Type="http://schemas.openxmlformats.org/officeDocument/2006/relationships/hyperlink" Target="https://www.3gpp.org/ftp/TSG_RAN/WG1_RL1/TSGR1_110/Docs/R1-2205921.zip" TargetMode="External"/><Relationship Id="rId35" Type="http://schemas.openxmlformats.org/officeDocument/2006/relationships/hyperlink" Target="https://www.3gpp.org/ftp/TSG_RAN/WG1_RL1/TSGR1_110/Docs/R1-2206212.zip" TargetMode="External"/><Relationship Id="rId43" Type="http://schemas.openxmlformats.org/officeDocument/2006/relationships/hyperlink" Target="https://www.3gpp.org/ftp/TSG_RAN/WG1_RL1/TSGR1_110/Docs/R1-2206897.zip" TargetMode="External"/><Relationship Id="rId48" Type="http://schemas.openxmlformats.org/officeDocument/2006/relationships/hyperlink" Target="https://www.3gpp.org/ftp/TSG_RAN/WG1_RL1/TSGR1_110/Docs/R1-2207323.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10/Docs/R1-2207547.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https://www.3gpp.org/ftp/TSG_RAN/WG1_RL1/TSGR1_110/Docs/R1-2206106.zip" TargetMode="External"/><Relationship Id="rId38" Type="http://schemas.openxmlformats.org/officeDocument/2006/relationships/hyperlink" Target="https://www.3gpp.org/ftp/TSG_RAN/WG1_RL1/TSGR1_110/Docs/R1-2206460.zip" TargetMode="External"/><Relationship Id="rId46" Type="http://schemas.openxmlformats.org/officeDocument/2006/relationships/hyperlink" Target="https://www.3gpp.org/ftp/TSG_RAN/WG1_RL1/TSGR1_110/Docs/R1-2207135.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815.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19.zip" TargetMode="External"/><Relationship Id="rId36" Type="http://schemas.openxmlformats.org/officeDocument/2006/relationships/hyperlink" Target="https://www.3gpp.org/ftp/TSG_RAN/WG1_RL1/TSGR1_110/Docs/R1-2206266.zip" TargetMode="External"/><Relationship Id="rId49" Type="http://schemas.openxmlformats.org/officeDocument/2006/relationships/hyperlink" Target="https://www.3gpp.org/ftp/TSG_RAN/WG1_RL1/TSGR1_110/Docs/R1-2207396.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0/Docs/R1-2205984.zip" TargetMode="External"/><Relationship Id="rId44" Type="http://schemas.openxmlformats.org/officeDocument/2006/relationships/hyperlink" Target="https://www.3gpp.org/ftp/TSG_RAN/WG1_RL1/TSGR1_110/Docs/R1-2206966.zip" TargetMode="External"/><Relationship Id="rId5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10935</Words>
  <Characters>62332</Characters>
  <Application>Microsoft Office Word</Application>
  <DocSecurity>0</DocSecurity>
  <Lines>519</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7</cp:revision>
  <dcterms:created xsi:type="dcterms:W3CDTF">2022-08-24T04:30:00Z</dcterms:created>
  <dcterms:modified xsi:type="dcterms:W3CDTF">2022-08-24T04:48:00Z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