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7B3" w:rsidRDefault="00A107B3" w:rsidP="00A107B3">
      <w:pPr>
        <w:pStyle w:val="1"/>
      </w:pPr>
      <w:r>
        <w:rPr>
          <w:rFonts w:hint="eastAsia"/>
          <w:lang w:eastAsia="zh-CN"/>
        </w:rPr>
        <w:t>Evaluation</w:t>
      </w:r>
      <w:r>
        <w:t xml:space="preserve"> for Rel-17 </w:t>
      </w:r>
      <w:proofErr w:type="spellStart"/>
      <w:r>
        <w:t>FeTypeII</w:t>
      </w:r>
      <w:proofErr w:type="spellEnd"/>
      <w:r>
        <w:t xml:space="preserve"> codebook</w:t>
      </w:r>
    </w:p>
    <w:p w:rsidR="000359B3" w:rsidRPr="00D93846" w:rsidRDefault="000359B3" w:rsidP="000359B3">
      <w:pPr>
        <w:rPr>
          <w:highlight w:val="yellow"/>
        </w:rPr>
      </w:pPr>
      <w:r>
        <w:rPr>
          <w:kern w:val="2"/>
          <w:lang w:val="en-GB" w:eastAsia="ja-JP"/>
        </w:rPr>
        <w:t>The performances of the R17-Type II-based CJT codebook and R16-Type II-based CJT codebook are compared and analysed. System-level simulation results with rank adaptation for inter</w:t>
      </w:r>
      <w:r>
        <w:rPr>
          <w:rFonts w:hint="eastAsia"/>
          <w:kern w:val="2"/>
          <w:lang w:val="en-GB" w:eastAsia="zh-CN"/>
        </w:rPr>
        <w:t>-</w:t>
      </w:r>
      <w:r>
        <w:rPr>
          <w:kern w:val="2"/>
          <w:lang w:val="en-GB" w:eastAsia="ja-JP"/>
        </w:rPr>
        <w:t xml:space="preserve">site CJT with 3 </w:t>
      </w:r>
      <w:r w:rsidRPr="000C1BBE">
        <w:rPr>
          <w:kern w:val="2"/>
          <w:lang w:val="en-GB" w:eastAsia="ja-JP"/>
        </w:rPr>
        <w:t xml:space="preserve">cooperated </w:t>
      </w:r>
      <w:r>
        <w:rPr>
          <w:kern w:val="2"/>
          <w:lang w:val="en-GB" w:eastAsia="ja-JP"/>
        </w:rPr>
        <w:t xml:space="preserve">TRPs are provided in </w:t>
      </w:r>
      <w:r>
        <w:rPr>
          <w:kern w:val="2"/>
          <w:lang w:val="en-GB" w:eastAsia="ja-JP"/>
        </w:rPr>
        <w:fldChar w:fldCharType="begin"/>
      </w:r>
      <w:r>
        <w:rPr>
          <w:kern w:val="2"/>
          <w:lang w:val="en-GB" w:eastAsia="ja-JP"/>
        </w:rPr>
        <w:instrText xml:space="preserve"> REF _Ref111101069 \h </w:instrText>
      </w:r>
      <w:r>
        <w:rPr>
          <w:kern w:val="2"/>
          <w:lang w:val="en-GB" w:eastAsia="ja-JP"/>
        </w:rPr>
      </w:r>
      <w:r>
        <w:rPr>
          <w:kern w:val="2"/>
          <w:lang w:val="en-GB" w:eastAsia="ja-JP"/>
        </w:rPr>
        <w:fldChar w:fldCharType="separate"/>
      </w:r>
      <w:r>
        <w:t xml:space="preserve">Figure </w:t>
      </w:r>
      <w:r>
        <w:rPr>
          <w:noProof/>
        </w:rPr>
        <w:t>1</w:t>
      </w:r>
      <w:r>
        <w:rPr>
          <w:kern w:val="2"/>
          <w:lang w:val="en-GB" w:eastAsia="ja-JP"/>
        </w:rPr>
        <w:fldChar w:fldCharType="end"/>
      </w:r>
      <w:r>
        <w:rPr>
          <w:rFonts w:hint="eastAsia"/>
          <w:kern w:val="2"/>
          <w:lang w:val="en-GB" w:eastAsia="zh-CN"/>
        </w:rPr>
        <w:t>,</w:t>
      </w:r>
      <w:r>
        <w:rPr>
          <w:kern w:val="2"/>
          <w:lang w:val="en-GB" w:eastAsia="zh-CN"/>
        </w:rPr>
        <w:t xml:space="preserve"> corresponding to 32T4R for </w:t>
      </w:r>
      <w:r w:rsidRPr="00851676">
        <w:rPr>
          <w:kern w:val="2"/>
          <w:lang w:val="en-GB" w:eastAsia="zh-CN"/>
        </w:rPr>
        <w:t>50%/70% RU</w:t>
      </w:r>
      <w:r>
        <w:rPr>
          <w:rFonts w:hint="eastAsia"/>
          <w:kern w:val="2"/>
          <w:lang w:val="en-GB" w:eastAsia="zh-CN"/>
        </w:rPr>
        <w:t>.</w:t>
      </w:r>
      <w:r>
        <w:rPr>
          <w:kern w:val="2"/>
          <w:lang w:val="en-GB" w:eastAsia="zh-CN"/>
        </w:rPr>
        <w:t xml:space="preserve"> The baseline is the sing-TRP transmission with R17 </w:t>
      </w:r>
      <w:proofErr w:type="spellStart"/>
      <w:r>
        <w:rPr>
          <w:kern w:val="2"/>
          <w:lang w:val="en-GB" w:eastAsia="zh-CN"/>
        </w:rPr>
        <w:t>FeTypeII</w:t>
      </w:r>
      <w:proofErr w:type="spellEnd"/>
      <w:r>
        <w:rPr>
          <w:kern w:val="2"/>
          <w:lang w:val="en-GB" w:eastAsia="zh-CN"/>
        </w:rPr>
        <w:t xml:space="preserve"> codebook. For </w:t>
      </w:r>
      <w:r>
        <w:rPr>
          <w:kern w:val="2"/>
          <w:lang w:val="en-GB" w:eastAsia="ja-JP"/>
        </w:rPr>
        <w:t>R16-Type II-based CJT</w:t>
      </w:r>
      <w:r>
        <w:rPr>
          <w:kern w:val="2"/>
          <w:lang w:val="en-GB" w:eastAsia="zh-CN"/>
        </w:rPr>
        <w:t xml:space="preserve"> codebook, DFT basis is adopted in both SD and FD and the number of SD basis is TRP-</w:t>
      </w:r>
      <w:r w:rsidR="001C20FA">
        <w:rPr>
          <w:kern w:val="2"/>
          <w:lang w:val="en-GB" w:eastAsia="zh-CN"/>
        </w:rPr>
        <w:t>specific</w:t>
      </w:r>
      <w:r>
        <w:rPr>
          <w:kern w:val="2"/>
          <w:lang w:val="en-GB" w:eastAsia="zh-CN"/>
        </w:rPr>
        <w:t xml:space="preserve">. All the CJT cases utilize the full rank feedback with each rank corresponding to channel of one receiving antenna. And the total overhead is the same for all CJT cases, which is three times of the </w:t>
      </w:r>
      <w:r w:rsidRPr="002726B2">
        <w:rPr>
          <w:kern w:val="2"/>
          <w:lang w:val="en-GB" w:eastAsia="zh-CN"/>
        </w:rPr>
        <w:t xml:space="preserve">R17 </w:t>
      </w:r>
      <w:proofErr w:type="spellStart"/>
      <w:r w:rsidRPr="002726B2">
        <w:rPr>
          <w:kern w:val="2"/>
          <w:lang w:val="en-GB" w:eastAsia="zh-CN"/>
        </w:rPr>
        <w:t>FeTypeII</w:t>
      </w:r>
      <w:proofErr w:type="spellEnd"/>
      <w:r w:rsidRPr="002726B2">
        <w:rPr>
          <w:kern w:val="2"/>
          <w:lang w:val="en-GB" w:eastAsia="zh-CN"/>
        </w:rPr>
        <w:t xml:space="preserve"> codebook</w:t>
      </w:r>
      <w:r>
        <w:rPr>
          <w:kern w:val="2"/>
          <w:lang w:val="en-GB" w:eastAsia="zh-CN"/>
        </w:rPr>
        <w:t xml:space="preserve"> overhead.</w:t>
      </w:r>
      <w:r w:rsidRPr="00910883">
        <w:rPr>
          <w:kern w:val="2"/>
          <w:lang w:val="en-GB" w:eastAsia="zh-CN"/>
        </w:rPr>
        <w:t xml:space="preserve"> </w:t>
      </w:r>
      <w:r w:rsidR="00CB0B39">
        <w:rPr>
          <w:kern w:val="2"/>
          <w:lang w:val="en-GB" w:eastAsia="zh-CN"/>
        </w:rPr>
        <w:t xml:space="preserve">The CSI-RS overhead is </w:t>
      </w:r>
      <w:r w:rsidR="00811861">
        <w:rPr>
          <w:kern w:val="2"/>
          <w:lang w:val="en-GB" w:eastAsia="zh-CN"/>
        </w:rPr>
        <w:t xml:space="preserve">observed to be </w:t>
      </w:r>
      <w:r w:rsidR="00147F53">
        <w:rPr>
          <w:kern w:val="2"/>
          <w:lang w:val="en-GB" w:eastAsia="zh-CN"/>
        </w:rPr>
        <w:t xml:space="preserve">1.5% </w:t>
      </w:r>
      <w:r w:rsidR="00B87848">
        <w:rPr>
          <w:kern w:val="2"/>
          <w:lang w:val="en-GB" w:eastAsia="zh-CN"/>
        </w:rPr>
        <w:t xml:space="preserve">for non-full buffer </w:t>
      </w:r>
      <w:r w:rsidR="00200557">
        <w:rPr>
          <w:kern w:val="2"/>
          <w:lang w:val="en-GB" w:eastAsia="zh-CN"/>
        </w:rPr>
        <w:t>with 70% RU</w:t>
      </w:r>
      <w:r w:rsidR="00F00B56">
        <w:rPr>
          <w:kern w:val="2"/>
          <w:lang w:val="en-GB" w:eastAsia="zh-CN"/>
        </w:rPr>
        <w:t xml:space="preserve">. The other simulation </w:t>
      </w:r>
      <w:r w:rsidR="00147F53">
        <w:rPr>
          <w:kern w:val="2"/>
          <w:lang w:val="en-GB" w:eastAsia="zh-CN"/>
        </w:rPr>
        <w:t xml:space="preserve">assumptions are aligned with </w:t>
      </w:r>
      <w:r w:rsidR="00A20F99">
        <w:rPr>
          <w:kern w:val="2"/>
          <w:lang w:val="en-GB" w:eastAsia="zh-CN"/>
        </w:rPr>
        <w:t>those agreed in RAN1#109.</w:t>
      </w:r>
      <w:bookmarkStart w:id="0" w:name="_GoBack"/>
      <w:bookmarkEnd w:id="0"/>
    </w:p>
    <w:p w:rsidR="000359B3" w:rsidRPr="002E1A91" w:rsidRDefault="000359B3" w:rsidP="000359B3">
      <w:pPr>
        <w:rPr>
          <w:b/>
          <w:i/>
          <w:lang w:eastAsia="x-none"/>
        </w:rPr>
      </w:pPr>
      <w:r>
        <w:rPr>
          <w:kern w:val="2"/>
          <w:lang w:val="en-GB" w:eastAsia="zh-CN"/>
        </w:rPr>
        <w:t xml:space="preserve">As shown in </w:t>
      </w:r>
      <w:r>
        <w:rPr>
          <w:kern w:val="2"/>
          <w:lang w:val="en-GB" w:eastAsia="zh-CN"/>
        </w:rPr>
        <w:fldChar w:fldCharType="begin"/>
      </w:r>
      <w:r>
        <w:rPr>
          <w:kern w:val="2"/>
          <w:lang w:val="en-GB" w:eastAsia="zh-CN"/>
        </w:rPr>
        <w:instrText xml:space="preserve"> REF _Ref111101069 \h </w:instrText>
      </w:r>
      <w:r>
        <w:rPr>
          <w:kern w:val="2"/>
          <w:lang w:val="en-GB" w:eastAsia="zh-CN"/>
        </w:rPr>
      </w:r>
      <w:r>
        <w:rPr>
          <w:kern w:val="2"/>
          <w:lang w:val="en-GB" w:eastAsia="zh-CN"/>
        </w:rPr>
        <w:fldChar w:fldCharType="separate"/>
      </w:r>
      <w:r>
        <w:t xml:space="preserve">Figure </w:t>
      </w:r>
      <w:r>
        <w:rPr>
          <w:noProof/>
        </w:rPr>
        <w:t>1</w:t>
      </w:r>
      <w:r>
        <w:rPr>
          <w:kern w:val="2"/>
          <w:lang w:val="en-GB" w:eastAsia="zh-CN"/>
        </w:rPr>
        <w:fldChar w:fldCharType="end"/>
      </w:r>
      <w:r>
        <w:rPr>
          <w:kern w:val="2"/>
          <w:lang w:val="en-GB" w:eastAsia="ja-JP"/>
        </w:rPr>
        <w:t xml:space="preserve">, the </w:t>
      </w:r>
      <w:r>
        <w:rPr>
          <w:kern w:val="2"/>
          <w:lang w:val="en-GB" w:eastAsia="zh-CN"/>
        </w:rPr>
        <w:t>R17-FeTypeII-based CJT codebook</w:t>
      </w:r>
      <w:r>
        <w:rPr>
          <w:kern w:val="2"/>
          <w:lang w:val="en-GB" w:eastAsia="ja-JP"/>
        </w:rPr>
        <w:t xml:space="preserve"> with joint space-frequency domain statistical eigenvectors achieves better performance than R16-Type II-based CJT</w:t>
      </w:r>
      <w:r>
        <w:rPr>
          <w:kern w:val="2"/>
          <w:lang w:val="en-GB" w:eastAsia="zh-CN"/>
        </w:rPr>
        <w:t xml:space="preserve"> codebook</w:t>
      </w:r>
      <w:r>
        <w:rPr>
          <w:kern w:val="2"/>
          <w:lang w:val="en-GB" w:eastAsia="ja-JP"/>
        </w:rPr>
        <w:t xml:space="preserve"> with DFT basis </w:t>
      </w:r>
      <w:r>
        <w:rPr>
          <w:lang w:eastAsia="zh-CN"/>
        </w:rPr>
        <w:t>for both mean UPT and 5% UPT</w:t>
      </w:r>
      <w:r>
        <w:rPr>
          <w:kern w:val="2"/>
          <w:lang w:val="en-GB" w:eastAsia="ja-JP"/>
        </w:rPr>
        <w:t xml:space="preserve">. </w:t>
      </w:r>
    </w:p>
    <w:p w:rsidR="000359B3" w:rsidRDefault="007156EB" w:rsidP="000359B3">
      <w:pPr>
        <w:keepNext/>
      </w:pPr>
      <w:r>
        <w:rPr>
          <w:noProof/>
          <w:lang w:eastAsia="zh-CN"/>
        </w:rPr>
        <w:drawing>
          <wp:inline distT="0" distB="0" distL="0" distR="0">
            <wp:extent cx="5274310" cy="1718417"/>
            <wp:effectExtent l="0" t="0" r="2540" b="0"/>
            <wp:docPr id="1" name="图片 1" descr="C:\Users\w00383792\AppData\Roaming\eSpace_Desktop\UserData\w00383792\imagefiles\269F5785-5F27-48F0-97D6-FF9DE9E06A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269F5785-5F27-48F0-97D6-FF9DE9E06A9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718417"/>
                    </a:xfrm>
                    <a:prstGeom prst="rect">
                      <a:avLst/>
                    </a:prstGeom>
                    <a:noFill/>
                    <a:ln>
                      <a:noFill/>
                    </a:ln>
                  </pic:spPr>
                </pic:pic>
              </a:graphicData>
            </a:graphic>
          </wp:inline>
        </w:drawing>
      </w:r>
    </w:p>
    <w:p w:rsidR="000359B3" w:rsidRDefault="000359B3" w:rsidP="000359B3">
      <w:pPr>
        <w:pStyle w:val="a7"/>
      </w:pPr>
      <w:bookmarkStart w:id="1" w:name="_Ref111101069"/>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
      <w:r>
        <w:t xml:space="preserve">. </w:t>
      </w:r>
      <w:r w:rsidRPr="009A22A5">
        <w:t>Performance gain of CJT with joint SD-FD basis based PS codebook</w:t>
      </w:r>
      <w:r>
        <w:t xml:space="preserve"> </w:t>
      </w:r>
      <w:r w:rsidRPr="009A22A5">
        <w:t>over single-TRP transmission with Rel-17 PS codebook</w:t>
      </w:r>
    </w:p>
    <w:p w:rsidR="00981944" w:rsidRDefault="000359B3" w:rsidP="005D208D">
      <w:pPr>
        <w:jc w:val="left"/>
        <w:rPr>
          <w:b/>
          <w:i/>
          <w:lang w:eastAsia="zh-CN"/>
        </w:rPr>
      </w:pPr>
      <w:r>
        <w:rPr>
          <w:b/>
          <w:i/>
          <w:lang w:eastAsia="zh-CN"/>
        </w:rPr>
        <w:t>Observation: T</w:t>
      </w:r>
      <w:r w:rsidRPr="00F467EC">
        <w:rPr>
          <w:b/>
          <w:i/>
          <w:lang w:eastAsia="zh-CN"/>
        </w:rPr>
        <w:t xml:space="preserve">he </w:t>
      </w:r>
      <w:r w:rsidRPr="00554F10">
        <w:rPr>
          <w:b/>
          <w:i/>
          <w:lang w:eastAsia="zh-CN"/>
        </w:rPr>
        <w:t>R17-FeTypeII-based CJT codebook with joint space-frequency domain statistical eigenvectors</w:t>
      </w:r>
      <w:r w:rsidRPr="00F467EC">
        <w:rPr>
          <w:b/>
          <w:i/>
          <w:lang w:eastAsia="zh-CN"/>
        </w:rPr>
        <w:t xml:space="preserve"> achieves</w:t>
      </w:r>
      <w:r>
        <w:rPr>
          <w:b/>
          <w:i/>
          <w:lang w:eastAsia="zh-CN"/>
        </w:rPr>
        <w:t xml:space="preserve"> 7~9% gain for mean UPT and 10~14% gain for 5%-tile UE UPT, compared with </w:t>
      </w:r>
      <w:r w:rsidRPr="00492574">
        <w:rPr>
          <w:b/>
          <w:i/>
          <w:lang w:eastAsia="zh-CN"/>
        </w:rPr>
        <w:t>R16-Type II-based CJT codebook with DFT basis</w:t>
      </w:r>
      <w:r>
        <w:rPr>
          <w:b/>
          <w:i/>
          <w:lang w:eastAsia="zh-CN"/>
        </w:rPr>
        <w:t>.</w:t>
      </w:r>
    </w:p>
    <w:p w:rsidR="001A30F0" w:rsidRPr="001A30F0" w:rsidRDefault="001A30F0" w:rsidP="005D208D">
      <w:pPr>
        <w:jc w:val="left"/>
        <w:rPr>
          <w:rFonts w:hint="eastAsia"/>
          <w:lang w:eastAsia="zh-CN"/>
        </w:rPr>
      </w:pPr>
    </w:p>
    <w:sectPr w:rsidR="001A30F0" w:rsidRPr="001A30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FD4" w:rsidRDefault="006C2FD4" w:rsidP="000359B3">
      <w:pPr>
        <w:spacing w:after="0"/>
      </w:pPr>
      <w:r>
        <w:separator/>
      </w:r>
    </w:p>
  </w:endnote>
  <w:endnote w:type="continuationSeparator" w:id="0">
    <w:p w:rsidR="006C2FD4" w:rsidRDefault="006C2FD4" w:rsidP="000359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FD4" w:rsidRDefault="006C2FD4" w:rsidP="000359B3">
      <w:pPr>
        <w:spacing w:after="0"/>
      </w:pPr>
      <w:r>
        <w:separator/>
      </w:r>
    </w:p>
  </w:footnote>
  <w:footnote w:type="continuationSeparator" w:id="0">
    <w:p w:rsidR="006C2FD4" w:rsidRDefault="006C2FD4" w:rsidP="000359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557C1"/>
    <w:multiLevelType w:val="multilevel"/>
    <w:tmpl w:val="3B56D59E"/>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30"/>
    <w:rsid w:val="000359B3"/>
    <w:rsid w:val="00064F97"/>
    <w:rsid w:val="00147F53"/>
    <w:rsid w:val="001A30F0"/>
    <w:rsid w:val="001C20FA"/>
    <w:rsid w:val="00200557"/>
    <w:rsid w:val="00440E6E"/>
    <w:rsid w:val="0045484F"/>
    <w:rsid w:val="005A138B"/>
    <w:rsid w:val="005D208D"/>
    <w:rsid w:val="006C2FD4"/>
    <w:rsid w:val="007156EB"/>
    <w:rsid w:val="00811861"/>
    <w:rsid w:val="00A107B3"/>
    <w:rsid w:val="00A20F99"/>
    <w:rsid w:val="00B87848"/>
    <w:rsid w:val="00CB0B39"/>
    <w:rsid w:val="00D9377B"/>
    <w:rsid w:val="00E33E04"/>
    <w:rsid w:val="00E35B92"/>
    <w:rsid w:val="00EB2930"/>
    <w:rsid w:val="00F00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806DC"/>
  <w15:chartTrackingRefBased/>
  <w15:docId w15:val="{FF4EB663-A306-4BF4-86ED-8785C0C8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59B3"/>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0"/>
    <w:qFormat/>
    <w:rsid w:val="00A107B3"/>
    <w:pPr>
      <w:keepNext/>
      <w:numPr>
        <w:numId w:val="1"/>
      </w:numPr>
      <w:spacing w:before="120"/>
      <w:outlineLvl w:val="0"/>
    </w:pPr>
    <w:rPr>
      <w:b/>
      <w:bCs/>
      <w:sz w:val="28"/>
      <w:szCs w:val="28"/>
    </w:rPr>
  </w:style>
  <w:style w:type="paragraph" w:styleId="2">
    <w:name w:val="heading 2"/>
    <w:basedOn w:val="a"/>
    <w:next w:val="a"/>
    <w:link w:val="20"/>
    <w:qFormat/>
    <w:rsid w:val="00A107B3"/>
    <w:pPr>
      <w:keepNext/>
      <w:numPr>
        <w:ilvl w:val="1"/>
        <w:numId w:val="1"/>
      </w:numPr>
      <w:spacing w:before="120"/>
      <w:outlineLvl w:val="1"/>
    </w:pPr>
    <w:rPr>
      <w:b/>
      <w:bCs/>
      <w:sz w:val="24"/>
    </w:rPr>
  </w:style>
  <w:style w:type="paragraph" w:styleId="3">
    <w:name w:val="heading 3"/>
    <w:basedOn w:val="a"/>
    <w:next w:val="a"/>
    <w:link w:val="30"/>
    <w:qFormat/>
    <w:rsid w:val="00A107B3"/>
    <w:pPr>
      <w:keepNext/>
      <w:numPr>
        <w:ilvl w:val="2"/>
        <w:numId w:val="1"/>
      </w:numPr>
      <w:spacing w:before="120"/>
      <w:outlineLvl w:val="2"/>
    </w:pPr>
    <w:rPr>
      <w:b/>
    </w:rPr>
  </w:style>
  <w:style w:type="paragraph" w:styleId="4">
    <w:name w:val="heading 4"/>
    <w:basedOn w:val="a"/>
    <w:next w:val="a"/>
    <w:link w:val="40"/>
    <w:qFormat/>
    <w:rsid w:val="00A107B3"/>
    <w:pPr>
      <w:keepNext/>
      <w:numPr>
        <w:ilvl w:val="3"/>
        <w:numId w:val="1"/>
      </w:numPr>
      <w:spacing w:before="120"/>
      <w:outlineLvl w:val="3"/>
    </w:pPr>
    <w:rPr>
      <w:b/>
      <w:bCs/>
      <w:szCs w:val="28"/>
    </w:rPr>
  </w:style>
  <w:style w:type="paragraph" w:styleId="5">
    <w:name w:val="heading 5"/>
    <w:basedOn w:val="a"/>
    <w:next w:val="a"/>
    <w:link w:val="50"/>
    <w:qFormat/>
    <w:rsid w:val="00A107B3"/>
    <w:pPr>
      <w:keepNext/>
      <w:numPr>
        <w:ilvl w:val="4"/>
        <w:numId w:val="1"/>
      </w:numPr>
      <w:spacing w:before="120"/>
      <w:outlineLvl w:val="4"/>
    </w:pPr>
    <w:rPr>
      <w:b/>
      <w:bCs/>
      <w:i/>
      <w:iCs/>
      <w:szCs w:val="26"/>
    </w:rPr>
  </w:style>
  <w:style w:type="paragraph" w:styleId="6">
    <w:name w:val="heading 6"/>
    <w:basedOn w:val="a"/>
    <w:next w:val="a"/>
    <w:link w:val="60"/>
    <w:qFormat/>
    <w:rsid w:val="00A107B3"/>
    <w:pPr>
      <w:numPr>
        <w:ilvl w:val="5"/>
        <w:numId w:val="1"/>
      </w:numPr>
      <w:spacing w:before="240" w:after="60"/>
      <w:outlineLvl w:val="5"/>
    </w:pPr>
    <w:rPr>
      <w:b/>
      <w:bCs/>
    </w:rPr>
  </w:style>
  <w:style w:type="paragraph" w:styleId="7">
    <w:name w:val="heading 7"/>
    <w:basedOn w:val="a"/>
    <w:next w:val="a"/>
    <w:link w:val="70"/>
    <w:qFormat/>
    <w:rsid w:val="00A107B3"/>
    <w:pPr>
      <w:numPr>
        <w:ilvl w:val="6"/>
        <w:numId w:val="1"/>
      </w:numPr>
      <w:spacing w:before="240" w:after="60"/>
      <w:outlineLvl w:val="6"/>
    </w:pPr>
    <w:rPr>
      <w:sz w:val="24"/>
      <w:szCs w:val="24"/>
    </w:rPr>
  </w:style>
  <w:style w:type="paragraph" w:styleId="8">
    <w:name w:val="heading 8"/>
    <w:basedOn w:val="a"/>
    <w:next w:val="a"/>
    <w:link w:val="80"/>
    <w:qFormat/>
    <w:rsid w:val="00A107B3"/>
    <w:pPr>
      <w:numPr>
        <w:ilvl w:val="7"/>
        <w:numId w:val="1"/>
      </w:numPr>
      <w:spacing w:before="240" w:after="60"/>
      <w:outlineLvl w:val="7"/>
    </w:pPr>
    <w:rPr>
      <w:i/>
      <w:iCs/>
      <w:sz w:val="24"/>
      <w:szCs w:val="24"/>
    </w:rPr>
  </w:style>
  <w:style w:type="paragraph" w:styleId="9">
    <w:name w:val="heading 9"/>
    <w:basedOn w:val="a"/>
    <w:next w:val="a"/>
    <w:link w:val="90"/>
    <w:qFormat/>
    <w:rsid w:val="00A107B3"/>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9B3"/>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0359B3"/>
    <w:rPr>
      <w:sz w:val="18"/>
      <w:szCs w:val="18"/>
    </w:rPr>
  </w:style>
  <w:style w:type="paragraph" w:styleId="a5">
    <w:name w:val="footer"/>
    <w:basedOn w:val="a"/>
    <w:link w:val="a6"/>
    <w:uiPriority w:val="99"/>
    <w:unhideWhenUsed/>
    <w:rsid w:val="000359B3"/>
    <w:pPr>
      <w:tabs>
        <w:tab w:val="center" w:pos="4153"/>
        <w:tab w:val="right" w:pos="8306"/>
      </w:tabs>
      <w:jc w:val="left"/>
    </w:pPr>
    <w:rPr>
      <w:sz w:val="18"/>
      <w:szCs w:val="18"/>
    </w:rPr>
  </w:style>
  <w:style w:type="character" w:customStyle="1" w:styleId="a6">
    <w:name w:val="页脚 字符"/>
    <w:basedOn w:val="a0"/>
    <w:link w:val="a5"/>
    <w:uiPriority w:val="99"/>
    <w:rsid w:val="000359B3"/>
    <w:rPr>
      <w:sz w:val="18"/>
      <w:szCs w:val="18"/>
    </w:rPr>
  </w:style>
  <w:style w:type="paragraph" w:styleId="a7">
    <w:name w:val="caption"/>
    <w:aliases w:val="cap"/>
    <w:basedOn w:val="a"/>
    <w:next w:val="a"/>
    <w:link w:val="a8"/>
    <w:qFormat/>
    <w:rsid w:val="000359B3"/>
    <w:pPr>
      <w:jc w:val="center"/>
    </w:pPr>
    <w:rPr>
      <w:b/>
      <w:bCs/>
      <w:sz w:val="20"/>
      <w:szCs w:val="20"/>
    </w:rPr>
  </w:style>
  <w:style w:type="character" w:customStyle="1" w:styleId="a8">
    <w:name w:val="题注 字符"/>
    <w:aliases w:val="cap 字符"/>
    <w:basedOn w:val="a0"/>
    <w:link w:val="a7"/>
    <w:rsid w:val="000359B3"/>
    <w:rPr>
      <w:rFonts w:ascii="Times New Roman" w:eastAsia="宋体" w:hAnsi="Times New Roman" w:cs="Times New Roman"/>
      <w:b/>
      <w:bCs/>
      <w:kern w:val="0"/>
      <w:sz w:val="20"/>
      <w:szCs w:val="20"/>
      <w:lang w:eastAsia="en-US"/>
    </w:rPr>
  </w:style>
  <w:style w:type="character" w:customStyle="1" w:styleId="10">
    <w:name w:val="标题 1 字符"/>
    <w:basedOn w:val="a0"/>
    <w:link w:val="1"/>
    <w:rsid w:val="00A107B3"/>
    <w:rPr>
      <w:rFonts w:ascii="Times New Roman" w:eastAsia="宋体" w:hAnsi="Times New Roman" w:cs="Times New Roman"/>
      <w:b/>
      <w:bCs/>
      <w:kern w:val="0"/>
      <w:sz w:val="28"/>
      <w:szCs w:val="28"/>
      <w:lang w:eastAsia="en-US"/>
    </w:rPr>
  </w:style>
  <w:style w:type="character" w:customStyle="1" w:styleId="20">
    <w:name w:val="标题 2 字符"/>
    <w:basedOn w:val="a0"/>
    <w:link w:val="2"/>
    <w:rsid w:val="00A107B3"/>
    <w:rPr>
      <w:rFonts w:ascii="Times New Roman" w:eastAsia="宋体" w:hAnsi="Times New Roman" w:cs="Times New Roman"/>
      <w:b/>
      <w:bCs/>
      <w:kern w:val="0"/>
      <w:sz w:val="24"/>
      <w:lang w:eastAsia="en-US"/>
    </w:rPr>
  </w:style>
  <w:style w:type="character" w:customStyle="1" w:styleId="30">
    <w:name w:val="标题 3 字符"/>
    <w:basedOn w:val="a0"/>
    <w:link w:val="3"/>
    <w:rsid w:val="00A107B3"/>
    <w:rPr>
      <w:rFonts w:ascii="Times New Roman" w:eastAsia="宋体" w:hAnsi="Times New Roman" w:cs="Times New Roman"/>
      <w:b/>
      <w:kern w:val="0"/>
      <w:sz w:val="22"/>
      <w:lang w:eastAsia="en-US"/>
    </w:rPr>
  </w:style>
  <w:style w:type="character" w:customStyle="1" w:styleId="40">
    <w:name w:val="标题 4 字符"/>
    <w:basedOn w:val="a0"/>
    <w:link w:val="4"/>
    <w:rsid w:val="00A107B3"/>
    <w:rPr>
      <w:rFonts w:ascii="Times New Roman" w:eastAsia="宋体" w:hAnsi="Times New Roman" w:cs="Times New Roman"/>
      <w:b/>
      <w:bCs/>
      <w:kern w:val="0"/>
      <w:sz w:val="22"/>
      <w:szCs w:val="28"/>
      <w:lang w:eastAsia="en-US"/>
    </w:rPr>
  </w:style>
  <w:style w:type="character" w:customStyle="1" w:styleId="50">
    <w:name w:val="标题 5 字符"/>
    <w:basedOn w:val="a0"/>
    <w:link w:val="5"/>
    <w:rsid w:val="00A107B3"/>
    <w:rPr>
      <w:rFonts w:ascii="Times New Roman" w:eastAsia="宋体" w:hAnsi="Times New Roman" w:cs="Times New Roman"/>
      <w:b/>
      <w:bCs/>
      <w:i/>
      <w:iCs/>
      <w:kern w:val="0"/>
      <w:sz w:val="22"/>
      <w:szCs w:val="26"/>
      <w:lang w:eastAsia="en-US"/>
    </w:rPr>
  </w:style>
  <w:style w:type="character" w:customStyle="1" w:styleId="60">
    <w:name w:val="标题 6 字符"/>
    <w:basedOn w:val="a0"/>
    <w:link w:val="6"/>
    <w:rsid w:val="00A107B3"/>
    <w:rPr>
      <w:rFonts w:ascii="Times New Roman" w:eastAsia="宋体" w:hAnsi="Times New Roman" w:cs="Times New Roman"/>
      <w:b/>
      <w:bCs/>
      <w:kern w:val="0"/>
      <w:sz w:val="22"/>
      <w:lang w:eastAsia="en-US"/>
    </w:rPr>
  </w:style>
  <w:style w:type="character" w:customStyle="1" w:styleId="70">
    <w:name w:val="标题 7 字符"/>
    <w:basedOn w:val="a0"/>
    <w:link w:val="7"/>
    <w:rsid w:val="00A107B3"/>
    <w:rPr>
      <w:rFonts w:ascii="Times New Roman" w:eastAsia="宋体" w:hAnsi="Times New Roman" w:cs="Times New Roman"/>
      <w:kern w:val="0"/>
      <w:sz w:val="24"/>
      <w:szCs w:val="24"/>
      <w:lang w:eastAsia="en-US"/>
    </w:rPr>
  </w:style>
  <w:style w:type="character" w:customStyle="1" w:styleId="80">
    <w:name w:val="标题 8 字符"/>
    <w:basedOn w:val="a0"/>
    <w:link w:val="8"/>
    <w:rsid w:val="00A107B3"/>
    <w:rPr>
      <w:rFonts w:ascii="Times New Roman" w:eastAsia="宋体" w:hAnsi="Times New Roman" w:cs="Times New Roman"/>
      <w:i/>
      <w:iCs/>
      <w:kern w:val="0"/>
      <w:sz w:val="24"/>
      <w:szCs w:val="24"/>
      <w:lang w:eastAsia="en-US"/>
    </w:rPr>
  </w:style>
  <w:style w:type="character" w:customStyle="1" w:styleId="90">
    <w:name w:val="标题 9 字符"/>
    <w:basedOn w:val="a0"/>
    <w:link w:val="9"/>
    <w:rsid w:val="00A107B3"/>
    <w:rPr>
      <w:rFonts w:ascii="Arial" w:eastAsia="宋体" w:hAnsi="Arial" w:cs="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232</Words>
  <Characters>1327</Characters>
  <Application>Microsoft Office Word</Application>
  <DocSecurity>0</DocSecurity>
  <Lines>11</Lines>
  <Paragraphs>3</Paragraphs>
  <ScaleCrop>false</ScaleCrop>
  <Company>Huawei Technologies Co.,Ltd.</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7</cp:revision>
  <dcterms:created xsi:type="dcterms:W3CDTF">2022-08-25T10:38:00Z</dcterms:created>
  <dcterms:modified xsi:type="dcterms:W3CDTF">2022-08-25T12:16:00Z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(2)dkwrK1aUIdYQE8Kfb7k/JkaU/oT1XKB4dUZD2Lc6dPj6dCw3V0K7woYPya6Sy/6Lc+ZM9jkr
6LFgXqSEM+/X5Kw2wbODZ+qCZX5J1iXWdr1b28bnLGCK+NaW6TuffOo4Ke4lJpoGrGuPSAic
dY5nPWwOmkNKyTAzOjTKMbPjhXDwbBcQSkM6USZUNsANkWmot6vPAmn+Y3RlMQLRbLjdkykz
ww0R4BgdqyeucTqUBG</vt:lpwstr>
  </property>
  <property fmtid="{D5CDD505-2E9C-101B-9397-08002B2CF9AE}" pid="3" name="_2015_ms_pID_7253431">
    <vt:lpwstr>5/KJtfct6o+Z7ev1Agn0eFmvRpuyA4glfgG0Zhz+ZWF1cC/QrtZObD
Yt6UcyjBIslBSL0ZFyT464J+wf9K0JF9UxvqWq6yqIiVQlBP2HyyIIRnchfVHXi63aRj5Edp
kY0932n9qb5+nydZ3r+CiYkYamTZ5BT583pFNmvG5qfE4BnX5KD2LhdsbzXxxnnQ49mum070
S0MXyeWdBy+NGJo0</vt:lpwstr>
  </property>
</Properties>
</file>