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ins w:id="2" w:author="Eko Onggosanusi" w:date="2022-08-19T21:44:00Z"/>
          <w:sz w:val="20"/>
        </w:rPr>
      </w:pPr>
    </w:p>
    <w:p w14:paraId="7EC328A4" w14:textId="27304AFE" w:rsidR="00253F29" w:rsidRPr="00253F29" w:rsidRDefault="00253F29" w:rsidP="00253F29">
      <w:pPr>
        <w:snapToGrid w:val="0"/>
        <w:spacing w:after="60"/>
        <w:rPr>
          <w:ins w:id="3" w:author="Eko Onggosanusi" w:date="2022-08-19T21:44:00Z"/>
          <w:sz w:val="20"/>
        </w:rPr>
      </w:pPr>
      <w:ins w:id="4" w:author="Eko Onggosanusi" w:date="2022-08-19T21:44:00Z">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ins>
    </w:p>
    <w:p w14:paraId="72854DBA" w14:textId="5D7C0572" w:rsidR="00253F29" w:rsidRPr="00253F29" w:rsidRDefault="00253F29" w:rsidP="00253F29">
      <w:pPr>
        <w:pStyle w:val="ListParagraph"/>
        <w:numPr>
          <w:ilvl w:val="0"/>
          <w:numId w:val="89"/>
        </w:numPr>
        <w:snapToGrid w:val="0"/>
        <w:spacing w:after="60" w:line="240" w:lineRule="auto"/>
        <w:rPr>
          <w:ins w:id="5" w:author="Eko Onggosanusi" w:date="2022-08-19T21:45:00Z"/>
          <w:sz w:val="20"/>
        </w:rPr>
      </w:pPr>
      <w:ins w:id="6" w:author="Eko Onggosanusi" w:date="2022-08-19T21:45:00Z">
        <w:r>
          <w:rPr>
            <w:sz w:val="20"/>
          </w:rPr>
          <w:t>Issue 1:</w:t>
        </w:r>
      </w:ins>
      <w:r>
        <w:rPr>
          <w:sz w:val="20"/>
        </w:rPr>
        <w:t xml:space="preserve"> </w:t>
      </w:r>
      <w:ins w:id="7" w:author="Eko Onggosanusi" w:date="2022-08-19T21:45:00Z">
        <w:r w:rsidRPr="00253F29">
          <w:rPr>
            <w:sz w:val="20"/>
          </w:rPr>
          <w:t>Proposal 1.B (proposal 1.A seems redundant given 1.B)</w:t>
        </w:r>
      </w:ins>
      <w:r w:rsidRPr="00253F29">
        <w:rPr>
          <w:sz w:val="20"/>
        </w:rPr>
        <w:t xml:space="preserve">, </w:t>
      </w:r>
      <w:ins w:id="8" w:author="Eko Onggosanusi" w:date="2022-08-19T21:45:00Z">
        <w:r w:rsidRPr="00253F29">
          <w:rPr>
            <w:sz w:val="20"/>
          </w:rPr>
          <w:t>1.</w:t>
        </w:r>
      </w:ins>
      <w:ins w:id="9" w:author="Eko Onggosanusi" w:date="2022-08-19T21:46:00Z">
        <w:r w:rsidRPr="00253F29">
          <w:rPr>
            <w:sz w:val="20"/>
          </w:rPr>
          <w:t>D</w:t>
        </w:r>
      </w:ins>
      <w:r w:rsidRPr="00253F29">
        <w:rPr>
          <w:sz w:val="20"/>
        </w:rPr>
        <w:t xml:space="preserve">, </w:t>
      </w:r>
      <w:ins w:id="10" w:author="Eko Onggosanusi" w:date="2022-08-19T21:46:00Z">
        <w:r w:rsidRPr="00253F29">
          <w:rPr>
            <w:sz w:val="20"/>
          </w:rPr>
          <w:t>1.E</w:t>
        </w:r>
      </w:ins>
      <w:r w:rsidRPr="00253F29">
        <w:rPr>
          <w:sz w:val="20"/>
        </w:rPr>
        <w:t xml:space="preserve">, </w:t>
      </w:r>
      <w:ins w:id="11" w:author="Eko Onggosanusi" w:date="2022-08-19T21:46:00Z">
        <w:r w:rsidRPr="00253F29">
          <w:rPr>
            <w:sz w:val="20"/>
          </w:rPr>
          <w:t>1.F</w:t>
        </w:r>
      </w:ins>
      <w:ins w:id="12" w:author="Eko Onggosanusi" w:date="2022-08-19T21:49:00Z">
        <w:r w:rsidRPr="00253F29">
          <w:rPr>
            <w:sz w:val="20"/>
          </w:rPr>
          <w:t xml:space="preserve">, and </w:t>
        </w:r>
      </w:ins>
      <w:ins w:id="13" w:author="Eko Onggosanusi" w:date="2022-08-19T21:46:00Z">
        <w:r w:rsidRPr="00253F29">
          <w:rPr>
            <w:sz w:val="20"/>
          </w:rPr>
          <w:t>1.J</w:t>
        </w:r>
      </w:ins>
    </w:p>
    <w:p w14:paraId="07668205" w14:textId="40B124BB" w:rsidR="00253F29" w:rsidRPr="00253F29" w:rsidRDefault="00253F29" w:rsidP="00253F29">
      <w:pPr>
        <w:pStyle w:val="ListParagraph"/>
        <w:numPr>
          <w:ilvl w:val="0"/>
          <w:numId w:val="89"/>
        </w:numPr>
        <w:snapToGrid w:val="0"/>
        <w:spacing w:after="60" w:line="240" w:lineRule="auto"/>
        <w:rPr>
          <w:ins w:id="14" w:author="Eko Onggosanusi" w:date="2022-08-19T21:47:00Z"/>
          <w:sz w:val="20"/>
        </w:rPr>
      </w:pPr>
      <w:bookmarkStart w:id="15" w:name="_GoBack"/>
      <w:bookmarkEnd w:id="15"/>
      <w:ins w:id="16" w:author="Eko Onggosanusi" w:date="2022-08-19T21:47:00Z">
        <w:r>
          <w:rPr>
            <w:sz w:val="20"/>
          </w:rPr>
          <w:t>Issue 2:</w:t>
        </w:r>
      </w:ins>
      <w:r>
        <w:rPr>
          <w:sz w:val="20"/>
        </w:rPr>
        <w:t xml:space="preserve"> </w:t>
      </w:r>
      <w:ins w:id="17" w:author="Eko Onggosanusi" w:date="2022-08-19T21:47:00Z">
        <w:r w:rsidRPr="00253F29">
          <w:rPr>
            <w:sz w:val="20"/>
          </w:rPr>
          <w:t>Proposal 2.</w:t>
        </w:r>
      </w:ins>
      <w:ins w:id="18" w:author="Eko Onggosanusi" w:date="2022-08-19T21:48:00Z">
        <w:r w:rsidRPr="00253F29">
          <w:rPr>
            <w:sz w:val="20"/>
          </w:rPr>
          <w:t>B</w:t>
        </w:r>
      </w:ins>
      <w:r w:rsidRPr="00253F29">
        <w:rPr>
          <w:sz w:val="20"/>
        </w:rPr>
        <w:t>,</w:t>
      </w:r>
      <w:ins w:id="19" w:author="Eko Onggosanusi" w:date="2022-08-19T21:48:00Z">
        <w:r w:rsidRPr="00253F29">
          <w:rPr>
            <w:sz w:val="20"/>
          </w:rPr>
          <w:t xml:space="preserve"> 2.C, 2.D, 2.G, and 2.H</w:t>
        </w:r>
      </w:ins>
    </w:p>
    <w:p w14:paraId="28A33C9E" w14:textId="4623331B" w:rsidR="00253F29" w:rsidRDefault="00253F29" w:rsidP="00253F29">
      <w:pPr>
        <w:pStyle w:val="ListParagraph"/>
        <w:numPr>
          <w:ilvl w:val="0"/>
          <w:numId w:val="89"/>
        </w:numPr>
        <w:snapToGrid w:val="0"/>
        <w:spacing w:after="60" w:line="240" w:lineRule="auto"/>
        <w:rPr>
          <w:sz w:val="20"/>
        </w:rPr>
      </w:pPr>
      <w:ins w:id="20" w:author="Eko Onggosanusi" w:date="2022-08-19T21:47:00Z">
        <w:r>
          <w:rPr>
            <w:sz w:val="20"/>
          </w:rPr>
          <w:t>Issue 3: Proposal 3.C</w:t>
        </w:r>
      </w:ins>
    </w:p>
    <w:p w14:paraId="4F6C63CE" w14:textId="77777777" w:rsidR="00253F29" w:rsidRPr="00253F29" w:rsidRDefault="00253F29" w:rsidP="00253F29">
      <w:pPr>
        <w:pStyle w:val="ListParagraph"/>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w:t>
            </w:r>
            <w:r>
              <w:rPr>
                <w:rFonts w:ascii="Times" w:eastAsia="Batang" w:hAnsi="Times"/>
                <w:sz w:val="18"/>
                <w:szCs w:val="16"/>
                <w:lang w:val="en-GB" w:eastAsia="en-US"/>
              </w:rPr>
              <w:lastRenderedPageBreak/>
              <w:t>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lastRenderedPageBreak/>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lastRenderedPageBreak/>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xml:space="preserve">, Google, </w:t>
            </w:r>
            <w:r w:rsidRPr="00421051">
              <w:rPr>
                <w:sz w:val="18"/>
                <w:szCs w:val="18"/>
                <w:lang w:val="en-GB"/>
              </w:rPr>
              <w:lastRenderedPageBreak/>
              <w:t>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786A35"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786A35"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786A35"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786A35"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ins w:id="21" w:author="Eko Onggosanusi" w:date="2022-08-19T14:45:00Z">
              <w:r w:rsidR="00747080">
                <w:rPr>
                  <w:rFonts w:ascii="Times" w:eastAsia="Batang" w:hAnsi="Times" w:cs="Times"/>
                  <w:sz w:val="18"/>
                  <w:szCs w:val="18"/>
                  <w:lang w:val="en-GB" w:eastAsia="en-US"/>
                </w:rPr>
                <w:t>/joint</w:t>
              </w:r>
            </w:ins>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786A35"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t xml:space="preserve">Alt1A (16): </w:t>
            </w:r>
            <w:r w:rsidRPr="00DC7F71">
              <w:rPr>
                <w:sz w:val="18"/>
                <w:szCs w:val="18"/>
              </w:rPr>
              <w:t>ZTE (co-scaling), Apple, LG, CMCC, 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6E771AD1"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pref</w:t>
            </w:r>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pref Mode 2 only)</w:t>
            </w:r>
            <w:r w:rsidR="00B23D54">
              <w:rPr>
                <w:sz w:val="18"/>
                <w:szCs w:val="18"/>
                <w:lang w:val="en-GB"/>
              </w:rPr>
              <w:t xml:space="preserve">, </w:t>
            </w:r>
            <w:r w:rsidR="00B23D54">
              <w:rPr>
                <w:sz w:val="18"/>
                <w:szCs w:val="18"/>
                <w:lang w:val="en-GB"/>
              </w:rPr>
              <w:t>Fraunhofer IIS/HHI (</w:t>
            </w:r>
            <w:r w:rsidR="00B23D54">
              <w:rPr>
                <w:sz w:val="18"/>
                <w:szCs w:val="18"/>
                <w:lang w:val="en-GB"/>
              </w:rPr>
              <w:t>neutral/ok, 1</w:t>
            </w:r>
            <w:r w:rsidR="00B23D54" w:rsidRPr="00B23D54">
              <w:rPr>
                <w:sz w:val="18"/>
                <w:szCs w:val="18"/>
                <w:vertAlign w:val="superscript"/>
                <w:lang w:val="en-GB"/>
              </w:rPr>
              <w:t>st</w:t>
            </w:r>
            <w:r w:rsidR="00B23D54">
              <w:rPr>
                <w:sz w:val="18"/>
                <w:szCs w:val="18"/>
                <w:lang w:val="en-GB"/>
              </w:rPr>
              <w:t xml:space="preserve"> pref </w:t>
            </w:r>
            <w:r w:rsidR="00B23D54">
              <w:rPr>
                <w:sz w:val="18"/>
                <w:szCs w:val="18"/>
                <w:lang w:val="en-GB"/>
              </w:rPr>
              <w:t>mode 2 only),</w:t>
            </w:r>
          </w:p>
          <w:p w14:paraId="0E8ACE18" w14:textId="3B7B366A"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17600D">
              <w:rPr>
                <w:sz w:val="18"/>
                <w:szCs w:val="18"/>
                <w:lang w:val="en-GB"/>
              </w:rPr>
              <w:t xml:space="preserve">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lastRenderedPageBreak/>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del w:id="22"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23"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xml:space="preserve">, </w:t>
            </w:r>
            <w:r w:rsidR="00E25334" w:rsidRPr="002C2975">
              <w:rPr>
                <w:sz w:val="18"/>
                <w:szCs w:val="18"/>
                <w:lang w:val="en-GB"/>
              </w:rPr>
              <w:lastRenderedPageBreak/>
              <w:t>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ins w:id="24"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lastRenderedPageBreak/>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lastRenderedPageBreak/>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5"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w:t>
            </w:r>
            <w:r>
              <w:rPr>
                <w:sz w:val="18"/>
                <w:szCs w:val="18"/>
                <w:lang w:eastAsia="zh-CN"/>
              </w:rPr>
              <w:lastRenderedPageBreak/>
              <w:t xml:space="preserve">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As long as they are not too far separated, the large-scale delay/FD profiles should be quite close – as partly demonstrated by </w:t>
            </w:r>
            <w:r>
              <w:rPr>
                <w:rFonts w:eastAsia="SimSun"/>
                <w:sz w:val="18"/>
                <w:szCs w:val="18"/>
                <w:lang w:eastAsia="zh-CN"/>
              </w:rPr>
              <w:lastRenderedPageBreak/>
              <w:t>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786A35"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lastRenderedPageBreak/>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786A35"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786A35"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786A35"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786A35"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786A35"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w:t>
            </w:r>
            <w:r>
              <w:rPr>
                <w:sz w:val="18"/>
                <w:szCs w:val="18"/>
                <w:lang w:eastAsia="zh-CN"/>
              </w:rPr>
              <w:lastRenderedPageBreak/>
              <w:t>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w:t>
            </w:r>
            <w:r w:rsidRPr="00315895">
              <w:rPr>
                <w:rFonts w:eastAsia="SimSun"/>
                <w:sz w:val="18"/>
                <w:szCs w:val="18"/>
                <w:lang w:eastAsia="zh-CN"/>
              </w:rPr>
              <w:lastRenderedPageBreak/>
              <w:t xml:space="preserve">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lastRenderedPageBreak/>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 xml:space="preserve">D </w:t>
            </w:r>
            <w:r w:rsidR="00496578">
              <w:rPr>
                <w:bCs/>
                <w:sz w:val="18"/>
                <w:szCs w:val="18"/>
                <w:lang w:eastAsia="zh-CN"/>
              </w:rPr>
              <w:lastRenderedPageBreak/>
              <w:t>bases in Alt1A should be started from vector ‘</w:t>
            </w:r>
            <w:r w:rsidR="00496578" w:rsidRPr="00496578">
              <w:rPr>
                <w:b/>
                <w:bCs/>
                <w:sz w:val="18"/>
                <w:szCs w:val="18"/>
                <w:lang w:eastAsia="zh-CN"/>
              </w:rPr>
              <w:t>1</w:t>
            </w:r>
            <w:r w:rsidR="00496578">
              <w:rPr>
                <w:bCs/>
                <w:sz w:val="18"/>
                <w:szCs w:val="18"/>
                <w:lang w:eastAsia="zh-CN"/>
              </w:rPr>
              <w:t>’ (just duplicate eTypeII codebooks), and then fail to provide the co-phasing/FD-basis-offset across different TRPs. As Huawei mentioned, while paying attention to the current proposal, the Alt-1A definitely outperform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ins w:id="26" w:author="Eko Onggosanusi" w:date="2022-08-19T14:47:00Z"/>
                <w:rFonts w:eastAsia="SimSun"/>
                <w:color w:val="3333FF"/>
                <w:sz w:val="18"/>
                <w:szCs w:val="18"/>
                <w:lang w:eastAsia="zh-CN"/>
              </w:rPr>
            </w:pPr>
            <w:ins w:id="27" w:author="Eko Onggosanusi" w:date="2022-08-19T14:47:00Z">
              <w:r w:rsidRPr="00C056C2">
                <w:rPr>
                  <w:rFonts w:eastAsia="SimSun"/>
                  <w:color w:val="3333FF"/>
                  <w:sz w:val="18"/>
                  <w:szCs w:val="18"/>
                  <w:lang w:eastAsia="zh-CN"/>
                </w:rPr>
                <w:t xml:space="preserve">[Mod: </w:t>
              </w:r>
            </w:ins>
            <w:ins w:id="28" w:author="Eko Onggosanusi" w:date="2022-08-19T14:49:00Z">
              <w:r>
                <w:rPr>
                  <w:rFonts w:eastAsia="SimSun"/>
                  <w:color w:val="3333FF"/>
                  <w:sz w:val="18"/>
                  <w:szCs w:val="18"/>
                  <w:lang w:eastAsia="zh-CN"/>
                </w:rPr>
                <w:t xml:space="preserve">Thanks for the comments. </w:t>
              </w:r>
            </w:ins>
            <w:ins w:id="29" w:author="Eko Onggosanusi" w:date="2022-08-19T14:47:00Z">
              <w:r w:rsidRPr="00C056C2">
                <w:rPr>
                  <w:rFonts w:eastAsia="SimSun"/>
                  <w:color w:val="3333FF"/>
                  <w:sz w:val="18"/>
                  <w:szCs w:val="18"/>
                  <w:lang w:eastAsia="zh-CN"/>
                </w:rPr>
                <w:t>Since I have accommodated your</w:t>
              </w:r>
            </w:ins>
            <w:ins w:id="30" w:author="Eko Onggosanusi" w:date="2022-08-19T14:48:00Z">
              <w:r w:rsidRPr="00C056C2">
                <w:rPr>
                  <w:rFonts w:eastAsia="SimSun"/>
                  <w:color w:val="3333FF"/>
                  <w:sz w:val="18"/>
                  <w:szCs w:val="18"/>
                  <w:lang w:eastAsia="zh-CN"/>
                </w:rPr>
                <w:t xml:space="preserve"> previous comments</w:t>
              </w:r>
            </w:ins>
            <w:ins w:id="31" w:author="Eko Onggosanusi" w:date="2022-08-19T14:47:00Z">
              <w:r w:rsidRPr="00C056C2">
                <w:rPr>
                  <w:rFonts w:eastAsia="SimSun"/>
                  <w:color w:val="3333FF"/>
                  <w:sz w:val="18"/>
                  <w:szCs w:val="18"/>
                  <w:lang w:eastAsia="zh-CN"/>
                </w:rPr>
                <w:t xml:space="preserve"> </w:t>
              </w:r>
            </w:ins>
            <w:ins w:id="32" w:author="Eko Onggosanusi" w:date="2022-08-19T14:48:00Z">
              <w:r w:rsidRPr="00C056C2">
                <w:rPr>
                  <w:rFonts w:eastAsia="SimSun"/>
                  <w:color w:val="3333FF"/>
                  <w:sz w:val="18"/>
                  <w:szCs w:val="18"/>
                  <w:lang w:eastAsia="zh-CN"/>
                </w:rPr>
                <w:t xml:space="preserve">including </w:t>
              </w:r>
            </w:ins>
            <w:ins w:id="33" w:author="Eko Onggosanusi" w:date="2022-08-19T14:47:00Z">
              <w:r w:rsidRPr="00C056C2">
                <w:rPr>
                  <w:rFonts w:eastAsia="SimSun"/>
                  <w:color w:val="3333FF"/>
                  <w:sz w:val="18"/>
                  <w:szCs w:val="18"/>
                  <w:lang w:eastAsia="zh-CN"/>
                </w:rPr>
                <w:t xml:space="preserve">FFS </w:t>
              </w:r>
            </w:ins>
            <w:ins w:id="34" w:author="Eko Onggosanusi" w:date="2022-08-19T14:48:00Z">
              <w:r w:rsidRPr="00C056C2">
                <w:rPr>
                  <w:rFonts w:eastAsia="SimSun"/>
                  <w:color w:val="3333FF"/>
                  <w:sz w:val="18"/>
                  <w:szCs w:val="18"/>
                  <w:lang w:eastAsia="zh-CN"/>
                </w:rPr>
                <w:t xml:space="preserve">request </w:t>
              </w:r>
            </w:ins>
            <w:ins w:id="35" w:author="Eko Onggosanusi" w:date="2022-08-19T14:47:00Z">
              <w:r w:rsidRPr="00C056C2">
                <w:rPr>
                  <w:rFonts w:eastAsia="SimSun"/>
                  <w:color w:val="3333FF"/>
                  <w:sz w:val="18"/>
                  <w:szCs w:val="18"/>
                  <w:lang w:eastAsia="zh-CN"/>
                </w:rPr>
                <w:t>on co-scaling/phasing</w:t>
              </w:r>
            </w:ins>
            <w:ins w:id="36" w:author="Eko Onggosanusi" w:date="2022-08-19T14:48:00Z">
              <w:r w:rsidRPr="00C056C2">
                <w:rPr>
                  <w:rFonts w:eastAsia="SimSun"/>
                  <w:color w:val="3333FF"/>
                  <w:sz w:val="18"/>
                  <w:szCs w:val="18"/>
                  <w:lang w:eastAsia="zh-CN"/>
                </w:rPr>
                <w:t xml:space="preserve">, I </w:t>
              </w:r>
            </w:ins>
            <w:ins w:id="37" w:author="Eko Onggosanusi" w:date="2022-08-19T14:49:00Z">
              <w:r>
                <w:rPr>
                  <w:rFonts w:eastAsia="SimSun"/>
                  <w:color w:val="3333FF"/>
                  <w:sz w:val="18"/>
                  <w:szCs w:val="18"/>
                  <w:lang w:eastAsia="zh-CN"/>
                </w:rPr>
                <w:t xml:space="preserve">will still </w:t>
              </w:r>
            </w:ins>
            <w:ins w:id="38" w:author="Eko Onggosanusi" w:date="2022-08-19T14:48:00Z">
              <w:r w:rsidRPr="00C056C2">
                <w:rPr>
                  <w:rFonts w:eastAsia="SimSun"/>
                  <w:color w:val="3333FF"/>
                  <w:sz w:val="18"/>
                  <w:szCs w:val="18"/>
                  <w:lang w:eastAsia="zh-CN"/>
                </w:rPr>
                <w:t xml:space="preserve">keep ZTE on “support/fine” in </w:t>
              </w:r>
            </w:ins>
            <w:ins w:id="39" w:author="Eko Onggosanusi" w:date="2022-08-19T14:49:00Z">
              <w:r>
                <w:rPr>
                  <w:rFonts w:eastAsia="SimSun"/>
                  <w:color w:val="3333FF"/>
                  <w:sz w:val="18"/>
                  <w:szCs w:val="18"/>
                  <w:lang w:eastAsia="zh-CN"/>
                </w:rPr>
                <w:t xml:space="preserve">compromise </w:t>
              </w:r>
            </w:ins>
            <w:ins w:id="40" w:author="Eko Onggosanusi" w:date="2022-08-19T14:48:00Z">
              <w:r w:rsidRPr="00C056C2">
                <w:rPr>
                  <w:rFonts w:eastAsia="SimSun"/>
                  <w:color w:val="3333FF"/>
                  <w:sz w:val="18"/>
                  <w:szCs w:val="18"/>
                  <w:lang w:eastAsia="zh-CN"/>
                </w:rPr>
                <w:t xml:space="preserve">proposal 1.E. I assume your latest comment is just regarding </w:t>
              </w:r>
            </w:ins>
            <w:ins w:id="41" w:author="Eko Onggosanusi" w:date="2022-08-19T14:49:00Z">
              <w:r w:rsidRPr="00C056C2">
                <w:rPr>
                  <w:rFonts w:eastAsia="SimSun"/>
                  <w:color w:val="3333FF"/>
                  <w:sz w:val="18"/>
                  <w:szCs w:val="18"/>
                  <w:lang w:eastAsia="zh-CN"/>
                </w:rPr>
                <w:t>SLS results</w:t>
              </w:r>
            </w:ins>
            <w:ins w:id="42" w:author="Eko Onggosanusi" w:date="2022-08-19T14:48:00Z">
              <w:r w:rsidRPr="00C056C2">
                <w:rPr>
                  <w:rFonts w:eastAsia="SimSun"/>
                  <w:color w:val="3333FF"/>
                  <w:sz w:val="18"/>
                  <w:szCs w:val="18"/>
                  <w:lang w:eastAsia="zh-CN"/>
                </w:rPr>
                <w:t>].</w:t>
              </w:r>
            </w:ins>
            <w:ins w:id="43" w:author="Eko Onggosanusi" w:date="2022-08-19T14:47:00Z">
              <w:r w:rsidRPr="00C056C2">
                <w:rPr>
                  <w:rFonts w:eastAsia="SimSun"/>
                  <w:color w:val="3333FF"/>
                  <w:sz w:val="18"/>
                  <w:szCs w:val="18"/>
                  <w:lang w:eastAsia="zh-CN"/>
                </w:rPr>
                <w:t xml:space="preserve"> </w:t>
              </w:r>
            </w:ins>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Support to study at least Rel-16 eType-II codebook; okay to, in addition, study Rel-17 FeType-II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Pr="002C2975">
              <w:rPr>
                <w:i/>
                <w:iCs/>
                <w:sz w:val="18"/>
                <w:szCs w:val="18"/>
              </w:rPr>
              <w:t>C</w:t>
            </w:r>
            <w:r w:rsidRPr="002C2975">
              <w:rPr>
                <w:sz w:val="18"/>
                <w:szCs w:val="18"/>
                <w:vertAlign w:val="subscript"/>
              </w:rPr>
              <w:t xml:space="preserve">group,amp </w:t>
            </w:r>
            <w:r w:rsidRPr="002C2975">
              <w:rPr>
                <w:b/>
                <w:sz w:val="18"/>
                <w:szCs w:val="18"/>
                <w:lang w:val="en-GB"/>
              </w:rPr>
              <w:t>=2</w:t>
            </w:r>
            <w:r>
              <w:rPr>
                <w:bCs/>
                <w:sz w:val="18"/>
                <w:szCs w:val="18"/>
                <w:lang w:val="en-GB" w:eastAsia="zh-CN"/>
              </w:rPr>
              <w:t xml:space="preserve">, but we are open to weigh this option against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ins w:id="44" w:author="Eko Onggosanusi" w:date="2022-08-19T14:42:00Z"/>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ins w:id="45" w:author="Eko Onggosanusi" w:date="2022-08-19T14:42:00Z">
              <w:r>
                <w:rPr>
                  <w:rFonts w:eastAsia="SimSun"/>
                  <w:bCs/>
                  <w:sz w:val="18"/>
                  <w:szCs w:val="18"/>
                  <w:lang w:eastAsia="zh-CN"/>
                </w:rPr>
                <w:t>[Mod: Thanks for your understanding]</w:t>
              </w:r>
            </w:ins>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786A35"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46"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47"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48" w:author="Jing Dai" w:date="2022-08-19T22:55:00Z">
                    <w:r w:rsidRPr="00DC7F71" w:rsidDel="005125F3">
                      <w:rPr>
                        <w:rFonts w:ascii="Times" w:eastAsia="Batang" w:hAnsi="Times" w:cs="Times"/>
                        <w:sz w:val="18"/>
                        <w:szCs w:val="18"/>
                        <w:lang w:val="en-GB" w:eastAsia="en-US"/>
                      </w:rPr>
                      <w:delText>)</w:delText>
                    </w:r>
                  </w:del>
                  <w:ins w:id="49"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786A35"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50"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ins w:id="51"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 by identifying whether a design aspect is appropriate</w:t>
                    </w:r>
                  </w:ins>
                  <w:ins w:id="52" w:author="Jing Dai" w:date="2022-08-19T22:43:00Z">
                    <w:r>
                      <w:rPr>
                        <w:rFonts w:eastAsiaTheme="minorEastAsia"/>
                        <w:color w:val="000000" w:themeColor="text1"/>
                        <w:sz w:val="18"/>
                        <w:szCs w:val="16"/>
                        <w:lang w:val="en-GB" w:eastAsia="zh-CN"/>
                      </w:rPr>
                      <w:t xml:space="preserve"> </w:t>
                    </w:r>
                  </w:ins>
                  <w:ins w:id="53" w:author="Jing Dai" w:date="2022-08-19T22:44:00Z">
                    <w:r>
                      <w:rPr>
                        <w:rFonts w:eastAsiaTheme="minorEastAsia"/>
                        <w:color w:val="000000" w:themeColor="text1"/>
                        <w:sz w:val="18"/>
                        <w:szCs w:val="16"/>
                        <w:lang w:val="en-GB" w:eastAsia="zh-CN"/>
                      </w:rPr>
                      <w:t>for</w:t>
                    </w:r>
                  </w:ins>
                  <w:ins w:id="54" w:author="Jing Dai" w:date="2022-08-19T22:43:00Z">
                    <w:r>
                      <w:rPr>
                        <w:rFonts w:eastAsiaTheme="minorEastAsia"/>
                        <w:color w:val="000000" w:themeColor="text1"/>
                        <w:sz w:val="18"/>
                        <w:szCs w:val="16"/>
                        <w:lang w:val="en-GB" w:eastAsia="zh-CN"/>
                      </w:rPr>
                      <w:t xml:space="preserve"> mode-common or mode-specific first</w:t>
                    </w:r>
                  </w:ins>
                  <w:ins w:id="55" w:author="Jing Dai" w:date="2022-08-19T22:44:00Z">
                    <w:r>
                      <w:rPr>
                        <w:rFonts w:eastAsiaTheme="minorEastAsia"/>
                        <w:color w:val="000000" w:themeColor="text1"/>
                        <w:sz w:val="18"/>
                        <w:szCs w:val="16"/>
                        <w:lang w:val="en-GB" w:eastAsia="zh-CN"/>
                      </w:rPr>
                      <w:t>, before discussing detail</w:t>
                    </w:r>
                  </w:ins>
                  <w:ins w:id="56" w:author="Jing Dai" w:date="2022-08-19T22:45:00Z">
                    <w:r>
                      <w:rPr>
                        <w:rFonts w:eastAsiaTheme="minorEastAsia"/>
                        <w:color w:val="000000" w:themeColor="text1"/>
                        <w:sz w:val="18"/>
                        <w:szCs w:val="16"/>
                        <w:lang w:val="en-GB" w:eastAsia="zh-CN"/>
                      </w:rPr>
                      <w:t>ed solution</w:t>
                    </w:r>
                  </w:ins>
                  <w:ins w:id="57" w:author="Jing Dai" w:date="2022-08-19T22:44:00Z">
                    <w:r>
                      <w:rPr>
                        <w:rFonts w:eastAsiaTheme="minorEastAsia"/>
                        <w:color w:val="000000" w:themeColor="text1"/>
                        <w:sz w:val="18"/>
                        <w:szCs w:val="16"/>
                        <w:lang w:val="en-GB" w:eastAsia="zh-CN"/>
                      </w:rPr>
                      <w:t xml:space="preserve"> of this aspect</w:t>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ins w:id="58" w:author="Eko Onggosanusi" w:date="2022-08-19T14:40:00Z"/>
                <w:bCs/>
                <w:sz w:val="18"/>
                <w:szCs w:val="18"/>
                <w:lang w:eastAsia="zh-CN"/>
              </w:rPr>
            </w:pPr>
            <w:ins w:id="59" w:author="Eko Onggosanusi" w:date="2022-08-19T14:38:00Z">
              <w:r>
                <w:rPr>
                  <w:bCs/>
                  <w:sz w:val="18"/>
                  <w:szCs w:val="18"/>
                  <w:lang w:eastAsia="zh-CN"/>
                </w:rPr>
                <w:t xml:space="preserve">[Mod: </w:t>
              </w:r>
            </w:ins>
            <w:ins w:id="60" w:author="Eko Onggosanusi" w:date="2022-08-19T14:50:00Z">
              <w:r w:rsidR="003F61DA">
                <w:rPr>
                  <w:bCs/>
                  <w:sz w:val="18"/>
                  <w:szCs w:val="18"/>
                  <w:lang w:eastAsia="zh-CN"/>
                </w:rPr>
                <w:t xml:space="preserve">Thanks for the thoughtful effort. But </w:t>
              </w:r>
            </w:ins>
            <w:ins w:id="61" w:author="Eko Onggosanusi" w:date="2022-08-19T14:38:00Z">
              <w:r>
                <w:rPr>
                  <w:bCs/>
                  <w:sz w:val="18"/>
                  <w:szCs w:val="18"/>
                  <w:lang w:eastAsia="zh-CN"/>
                </w:rPr>
                <w:t xml:space="preserve">“union” can be misinterpreted </w:t>
              </w:r>
            </w:ins>
            <w:ins w:id="62" w:author="Eko Onggosanusi" w:date="2022-08-19T14:39:00Z">
              <w:r>
                <w:rPr>
                  <w:bCs/>
                  <w:sz w:val="18"/>
                  <w:szCs w:val="18"/>
                  <w:lang w:eastAsia="zh-CN"/>
                </w:rPr>
                <w:t>(as imposing some particular UE/NW implementation). W</w:t>
              </w:r>
            </w:ins>
            <w:ins w:id="63" w:author="Eko Onggosanusi" w:date="2022-08-19T14:38:00Z">
              <w:r>
                <w:rPr>
                  <w:bCs/>
                  <w:sz w:val="18"/>
                  <w:szCs w:val="18"/>
                  <w:lang w:eastAsia="zh-CN"/>
                </w:rPr>
                <w:t>e</w:t>
              </w:r>
            </w:ins>
            <w:ins w:id="64" w:author="Eko Onggosanusi" w:date="2022-08-19T14:39:00Z">
              <w:r>
                <w:rPr>
                  <w:bCs/>
                  <w:sz w:val="18"/>
                  <w:szCs w:val="18"/>
                  <w:lang w:eastAsia="zh-CN"/>
                </w:rPr>
                <w:t xml:space="preserve"> never use this term before. Typically we use “per-“/”-specific” vs “common”</w:t>
              </w:r>
            </w:ins>
            <w:ins w:id="65" w:author="Eko Onggosanusi" w:date="2022-08-19T14:40:00Z">
              <w:r>
                <w:rPr>
                  <w:bCs/>
                  <w:sz w:val="18"/>
                  <w:szCs w:val="18"/>
                  <w:lang w:eastAsia="zh-CN"/>
                </w:rPr>
                <w:t>/”joint”. To be clearer (per your intention), I added “</w:t>
              </w:r>
            </w:ins>
            <w:ins w:id="66" w:author="Eko Onggosanusi" w:date="2022-08-19T14:50:00Z">
              <w:r w:rsidR="00A80B1F">
                <w:rPr>
                  <w:bCs/>
                  <w:sz w:val="18"/>
                  <w:szCs w:val="18"/>
                  <w:lang w:eastAsia="zh-CN"/>
                </w:rPr>
                <w:t xml:space="preserve">/joint” </w:t>
              </w:r>
            </w:ins>
            <w:ins w:id="67" w:author="Eko Onggosanusi" w:date="2022-08-19T14:40:00Z">
              <w:r w:rsidR="00A80B1F">
                <w:rPr>
                  <w:bCs/>
                  <w:sz w:val="18"/>
                  <w:szCs w:val="18"/>
                  <w:lang w:eastAsia="zh-CN"/>
                </w:rPr>
                <w:t>which should mean the same</w:t>
              </w:r>
              <w:r>
                <w:rPr>
                  <w:bCs/>
                  <w:sz w:val="18"/>
                  <w:szCs w:val="18"/>
                  <w:lang w:eastAsia="zh-CN"/>
                </w:rPr>
                <w:t>.</w:t>
              </w:r>
            </w:ins>
          </w:p>
          <w:p w14:paraId="50F4B726" w14:textId="77777777" w:rsidR="00786A35" w:rsidRDefault="00786A35" w:rsidP="00394384">
            <w:pPr>
              <w:snapToGrid w:val="0"/>
              <w:rPr>
                <w:ins w:id="68" w:author="Eko Onggosanusi" w:date="2022-08-19T14:40:00Z"/>
                <w:bCs/>
                <w:sz w:val="18"/>
                <w:szCs w:val="18"/>
                <w:lang w:eastAsia="zh-CN"/>
              </w:rPr>
            </w:pPr>
          </w:p>
          <w:p w14:paraId="5AC301E4" w14:textId="0867C9BA" w:rsidR="00786A35" w:rsidRDefault="00786A35" w:rsidP="00394384">
            <w:pPr>
              <w:snapToGrid w:val="0"/>
              <w:rPr>
                <w:ins w:id="69" w:author="Eko Onggosanusi" w:date="2022-08-19T14:38:00Z"/>
                <w:bCs/>
                <w:sz w:val="18"/>
                <w:szCs w:val="18"/>
                <w:lang w:eastAsia="zh-CN"/>
              </w:rPr>
            </w:pPr>
            <w:ins w:id="70" w:author="Eko Onggosanusi" w:date="2022-08-19T14:40:00Z">
              <w:r>
                <w:rPr>
                  <w:bCs/>
                  <w:sz w:val="18"/>
                  <w:szCs w:val="18"/>
                  <w:lang w:eastAsia="zh-CN"/>
                </w:rPr>
                <w:t xml:space="preserve">Re the sub-bullet, you are correct that </w:t>
              </w:r>
            </w:ins>
            <w:ins w:id="71" w:author="Eko Onggosanusi" w:date="2022-08-19T14:41:00Z">
              <w:r>
                <w:rPr>
                  <w:bCs/>
                  <w:sz w:val="18"/>
                  <w:szCs w:val="18"/>
                  <w:lang w:eastAsia="zh-CN"/>
                </w:rPr>
                <w:t xml:space="preserve">“striving” implies the sub-bullet. If possible we want </w:t>
              </w:r>
            </w:ins>
            <w:ins w:id="72" w:author="Eko Onggosanusi" w:date="2022-08-19T14:42:00Z">
              <w:r>
                <w:rPr>
                  <w:bCs/>
                  <w:sz w:val="18"/>
                  <w:szCs w:val="18"/>
                  <w:lang w:eastAsia="zh-CN"/>
                </w:rPr>
                <w:t>mode-</w:t>
              </w:r>
            </w:ins>
            <w:ins w:id="73" w:author="Eko Onggosanusi" w:date="2022-08-19T14:41:00Z">
              <w:r>
                <w:rPr>
                  <w:bCs/>
                  <w:sz w:val="18"/>
                  <w:szCs w:val="18"/>
                  <w:lang w:eastAsia="zh-CN"/>
                </w:rPr>
                <w:t>common for unified design, but if study indicates otherwise</w:t>
              </w:r>
            </w:ins>
            <w:ins w:id="74" w:author="Eko Onggosanusi" w:date="2022-08-19T14:42:00Z">
              <w:r>
                <w:rPr>
                  <w:bCs/>
                  <w:sz w:val="18"/>
                  <w:szCs w:val="18"/>
                  <w:lang w:eastAsia="zh-CN"/>
                </w:rPr>
                <w:t xml:space="preserve"> for some detailed aspect</w:t>
              </w:r>
            </w:ins>
            <w:ins w:id="75" w:author="Eko Onggosanusi" w:date="2022-08-19T14:44:00Z">
              <w:r w:rsidR="00747080">
                <w:rPr>
                  <w:bCs/>
                  <w:sz w:val="18"/>
                  <w:szCs w:val="18"/>
                  <w:lang w:eastAsia="zh-CN"/>
                </w:rPr>
                <w:t xml:space="preserve"> and the group agrees</w:t>
              </w:r>
            </w:ins>
            <w:ins w:id="76" w:author="Eko Onggosanusi" w:date="2022-08-19T14:41:00Z">
              <w:r>
                <w:rPr>
                  <w:bCs/>
                  <w:sz w:val="18"/>
                  <w:szCs w:val="18"/>
                  <w:lang w:eastAsia="zh-CN"/>
                </w:rPr>
                <w:t>, it will be mode-specific</w:t>
              </w:r>
            </w:ins>
            <w:ins w:id="77" w:author="Eko Onggosanusi" w:date="2022-08-19T14:38:00Z">
              <w:r>
                <w:rPr>
                  <w:bCs/>
                  <w:sz w:val="18"/>
                  <w:szCs w:val="18"/>
                  <w:lang w:eastAsia="zh-CN"/>
                </w:rPr>
                <w:t>]</w:t>
              </w:r>
            </w:ins>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It cannot preclude e.g. an exemplary case of TRP-specific FD basis selelction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amplitudes after joint FD compression;</w:t>
            </w:r>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t>T</w:t>
                  </w:r>
                  <w:r>
                    <w:rPr>
                      <w:bCs/>
                      <w:sz w:val="18"/>
                      <w:szCs w:val="18"/>
                      <w:lang w:eastAsia="zh-CN"/>
                    </w:rPr>
                    <w:t>otal FD bases</w:t>
                  </w:r>
                </w:p>
              </w:tc>
              <w:tc>
                <w:tcPr>
                  <w:tcW w:w="2553" w:type="dxa"/>
                  <w:vAlign w:val="center"/>
                </w:tcPr>
                <w:p w14:paraId="377C513F" w14:textId="77777777" w:rsidR="00394384" w:rsidRPr="00A97D1A" w:rsidRDefault="00786A35"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786A35"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786A35"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lastRenderedPageBreak/>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ly say it may also have a comparable selected # FD bases around 13. Therefore, from FD basis selection perspective, we can say both of them capture the mTRP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subband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ins w:id="78" w:author="Eko Onggosanusi" w:date="2022-08-19T14:42:00Z"/>
                <w:bCs/>
                <w:sz w:val="18"/>
                <w:szCs w:val="18"/>
                <w:lang w:eastAsia="zh-CN"/>
              </w:rPr>
            </w:pPr>
            <w:r>
              <w:rPr>
                <w:bCs/>
                <w:sz w:val="18"/>
                <w:szCs w:val="18"/>
                <w:lang w:eastAsia="zh-CN"/>
              </w:rPr>
              <w:t>Thank you</w:t>
            </w:r>
          </w:p>
          <w:p w14:paraId="3093525B" w14:textId="77777777" w:rsidR="00786A35" w:rsidRDefault="00786A35" w:rsidP="00786A35">
            <w:pPr>
              <w:snapToGrid w:val="0"/>
              <w:rPr>
                <w:ins w:id="79" w:author="Eko Onggosanusi" w:date="2022-08-19T14:43:00Z"/>
                <w:bCs/>
                <w:sz w:val="18"/>
                <w:szCs w:val="18"/>
                <w:lang w:eastAsia="zh-CN"/>
              </w:rPr>
            </w:pPr>
            <w:ins w:id="80" w:author="Eko Onggosanusi" w:date="2022-08-19T14:42:00Z">
              <w:r>
                <w:rPr>
                  <w:bCs/>
                  <w:sz w:val="18"/>
                  <w:szCs w:val="18"/>
                  <w:lang w:eastAsia="zh-CN"/>
                </w:rPr>
                <w:t xml:space="preserve">[Mod: Thanks for the thoughtful analysis. We will discuss </w:t>
              </w:r>
            </w:ins>
            <w:ins w:id="81" w:author="Eko Onggosanusi" w:date="2022-08-19T14:43:00Z">
              <w:r>
                <w:rPr>
                  <w:bCs/>
                  <w:sz w:val="18"/>
                  <w:szCs w:val="18"/>
                  <w:lang w:eastAsia="zh-CN"/>
                </w:rPr>
                <w:t>such details in the next steps once we look into details, e.g. exact codebook and UCI parameter designs]</w:t>
              </w:r>
            </w:ins>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hint="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rFonts w:hint="eastAsia"/>
                <w:b/>
                <w:bCs/>
                <w:sz w:val="18"/>
                <w:szCs w:val="18"/>
                <w:lang w:eastAsia="zh-CN"/>
              </w:rPr>
            </w:pPr>
            <w:r w:rsidRPr="00786A35">
              <w:rPr>
                <w:b/>
                <w:bCs/>
                <w:color w:val="3333FF"/>
                <w:sz w:val="18"/>
                <w:szCs w:val="18"/>
                <w:lang w:eastAsia="zh-CN"/>
              </w:rPr>
              <w:t>Minor revision on proposal 1.E (for better clarity)</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ins w:id="82"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xml:space="preserve">, Samsung, ZTE, Spreadtrum, Google, Lenovo, </w:t>
            </w:r>
            <w:r w:rsidR="00E6616B">
              <w:rPr>
                <w:sz w:val="18"/>
                <w:szCs w:val="18"/>
              </w:rPr>
              <w:lastRenderedPageBreak/>
              <w:t>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7AE7EFD0" w:rsidR="0036675B" w:rsidRPr="0036675B" w:rsidDel="00487FF9" w:rsidRDefault="0036675B" w:rsidP="0036675B">
            <w:pPr>
              <w:pStyle w:val="ListParagraph"/>
              <w:numPr>
                <w:ilvl w:val="2"/>
                <w:numId w:val="80"/>
              </w:numPr>
              <w:snapToGrid w:val="0"/>
              <w:spacing w:after="0" w:line="240" w:lineRule="auto"/>
              <w:rPr>
                <w:del w:id="83" w:author="Eko Onggosanusi" w:date="2022-08-19T14:55:00Z"/>
                <w:color w:val="0070C0"/>
                <w:sz w:val="18"/>
                <w:szCs w:val="18"/>
              </w:rPr>
            </w:pPr>
            <w:del w:id="84" w:author="Eko Onggosanusi" w:date="2022-08-19T14:55:00Z">
              <w:r w:rsidRPr="00671712" w:rsidDel="00487FF9">
                <w:rPr>
                  <w:rFonts w:hint="eastAsia"/>
                  <w:color w:val="0070C0"/>
                  <w:sz w:val="18"/>
                  <w:szCs w:val="18"/>
                  <w:lang w:eastAsia="zh-CN"/>
                </w:rPr>
                <w:delText>FFS</w:delText>
              </w:r>
              <w:r w:rsidDel="00487FF9">
                <w:rPr>
                  <w:color w:val="0070C0"/>
                  <w:sz w:val="18"/>
                  <w:szCs w:val="18"/>
                </w:rPr>
                <w:delText xml:space="preserve">: location of </w:delText>
              </w:r>
              <w:r w:rsidRPr="00671712" w:rsidDel="00487FF9">
                <w:rPr>
                  <w:rFonts w:hint="eastAsia"/>
                  <w:color w:val="0070C0"/>
                  <w:sz w:val="18"/>
                  <w:szCs w:val="18"/>
                  <w:lang w:eastAsia="zh-CN"/>
                </w:rPr>
                <w:delText>the</w:delText>
              </w:r>
              <w:r w:rsidRPr="00671712" w:rsidDel="00487FF9">
                <w:rPr>
                  <w:color w:val="0070C0"/>
                  <w:sz w:val="18"/>
                  <w:szCs w:val="18"/>
                </w:rPr>
                <w:delText xml:space="preserve"> reference resource</w:delText>
              </w:r>
            </w:del>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xml:space="preserve">, CATT, </w:t>
            </w:r>
            <w:r w:rsidR="004C4865" w:rsidRPr="004B183C">
              <w:rPr>
                <w:sz w:val="18"/>
                <w:szCs w:val="18"/>
              </w:rPr>
              <w:lastRenderedPageBreak/>
              <w:t>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 xml:space="preserve">discussion on </w:t>
            </w:r>
            <w:r w:rsidR="00216D6D" w:rsidRPr="00216D6D">
              <w:rPr>
                <w:rFonts w:eastAsia="Batang"/>
                <w:color w:val="FF0000"/>
                <w:sz w:val="18"/>
                <w:szCs w:val="18"/>
                <w:lang w:val="en-GB" w:eastAsia="en-US"/>
              </w:rPr>
              <w:lastRenderedPageBreak/>
              <w:t>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lastRenderedPageBreak/>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6B088BCC"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487FF9">
              <w:rPr>
                <w:sz w:val="18"/>
                <w:szCs w:val="18"/>
              </w:rPr>
              <w:t xml:space="preserve">, Sony </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lastRenderedPageBreak/>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8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8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8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87" w:name="_Ref111214825"/>
            <w:bookmarkEnd w:id="86"/>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w:t>
            </w:r>
            <w:r w:rsidRPr="00727692">
              <w:rPr>
                <w:bCs/>
                <w:sz w:val="16"/>
                <w:szCs w:val="16"/>
              </w:rPr>
              <w:lastRenderedPageBreak/>
              <w:t xml:space="preserve">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88" w:name="_Ref111214835"/>
            <w:bookmarkEnd w:id="87"/>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8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lastRenderedPageBreak/>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lastRenderedPageBreak/>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786A35"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786A35"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v.s. H-based) is more doable, we think it needs further study, </w:t>
            </w:r>
            <w:r>
              <w:rPr>
                <w:sz w:val="18"/>
                <w:szCs w:val="18"/>
                <w:lang w:eastAsia="zh-CN"/>
              </w:rPr>
              <w:lastRenderedPageBreak/>
              <w:t>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lastRenderedPageBreak/>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3.75pt;mso-width-percent:0;mso-height-percent:0;mso-width-percent:0;mso-height-percent:0" o:ole="">
                  <v:imagedata r:id="rId14" o:title=""/>
                </v:shape>
                <o:OLEObject Type="Embed" ProgID="Equation.DSMT4" ShapeID="_x0000_i1025" DrawAspect="Content" ObjectID="_1722451779" r:id="rId15"/>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9pt;height:13.75pt;mso-width-percent:0;mso-height-percent:0;mso-width-percent:0;mso-height-percent:0" o:ole="">
                  <v:imagedata r:id="rId16" o:title=""/>
                </v:shape>
                <o:OLEObject Type="Embed" ProgID="Equation.DSMT4" ShapeID="_x0000_i1026" DrawAspect="Content" ObjectID="_1722451780"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t>
            </w:r>
            <w:r w:rsidRPr="008C1962">
              <w:rPr>
                <w:sz w:val="18"/>
                <w:szCs w:val="18"/>
              </w:rPr>
              <w:lastRenderedPageBreak/>
              <w:t xml:space="preserve">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r>
              <w:rPr>
                <w:rFonts w:eastAsia="MS Mincho"/>
                <w:sz w:val="18"/>
                <w:szCs w:val="18"/>
                <w:lang w:eastAsia="ja-JP"/>
              </w:rPr>
              <w:lastRenderedPageBreak/>
              <w:t>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lastRenderedPageBreak/>
              <w:t xml:space="preserve">For proposal 2.C, we support Alt 1. For Alt 2, it seems the legacy CSI feedback can already achieve it. And we are </w:t>
            </w:r>
            <w:r>
              <w:rPr>
                <w:rFonts w:eastAsia="Malgun Gothic"/>
                <w:sz w:val="18"/>
                <w:szCs w:val="18"/>
              </w:rPr>
              <w:lastRenderedPageBreak/>
              <w:t>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w:t>
            </w:r>
            <w:r w:rsidRPr="009C469F">
              <w:rPr>
                <w:sz w:val="20"/>
                <w:szCs w:val="20"/>
              </w:rPr>
              <w:lastRenderedPageBreak/>
              <w:t xml:space="preserve">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lastRenderedPageBreak/>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ins w:id="89" w:author="Eko Onggosanusi" w:date="2022-08-19T14:54:00Z"/>
                <w:rFonts w:eastAsia="MS Mincho"/>
                <w:bCs/>
                <w:color w:val="3333FF"/>
                <w:sz w:val="18"/>
                <w:szCs w:val="18"/>
                <w:lang w:eastAsia="ja-JP"/>
              </w:rPr>
            </w:pPr>
            <w:ins w:id="90" w:author="Eko Onggosanusi" w:date="2022-08-19T14:53:00Z">
              <w:r w:rsidRPr="00200E90">
                <w:rPr>
                  <w:rFonts w:eastAsia="MS Mincho"/>
                  <w:bCs/>
                  <w:color w:val="3333FF"/>
                  <w:sz w:val="18"/>
                  <w:szCs w:val="18"/>
                  <w:lang w:eastAsia="ja-JP"/>
                </w:rPr>
                <w:t xml:space="preserve">[Mod: This was proposed by vivo. </w:t>
              </w:r>
            </w:ins>
            <w:ins w:id="91" w:author="Eko Onggosanusi" w:date="2022-08-19T14:54:00Z">
              <w:r w:rsidRPr="00200E90">
                <w:rPr>
                  <w:rFonts w:eastAsia="MS Mincho"/>
                  <w:bCs/>
                  <w:color w:val="3333FF"/>
                  <w:sz w:val="18"/>
                  <w:szCs w:val="18"/>
                  <w:lang w:eastAsia="ja-JP"/>
                </w:rPr>
                <w:t xml:space="preserve">But </w:t>
              </w:r>
            </w:ins>
            <w:ins w:id="92" w:author="Eko Onggosanusi" w:date="2022-08-19T14:53:00Z">
              <w:r w:rsidRPr="00200E90">
                <w:rPr>
                  <w:rFonts w:eastAsia="MS Mincho"/>
                  <w:bCs/>
                  <w:color w:val="3333FF"/>
                  <w:sz w:val="18"/>
                  <w:szCs w:val="18"/>
                  <w:lang w:eastAsia="ja-JP"/>
                </w:rPr>
                <w:t>OK</w:t>
              </w:r>
            </w:ins>
            <w:ins w:id="93" w:author="Eko Onggosanusi" w:date="2022-08-19T14:54:00Z">
              <w:r w:rsidRPr="00200E90">
                <w:rPr>
                  <w:rFonts w:eastAsia="MS Mincho"/>
                  <w:bCs/>
                  <w:color w:val="3333FF"/>
                  <w:sz w:val="18"/>
                  <w:szCs w:val="18"/>
                  <w:lang w:eastAsia="ja-JP"/>
                </w:rPr>
                <w:t xml:space="preserve">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ins>
            <w:ins w:id="94" w:author="Eko Onggosanusi" w:date="2022-08-19T14:55:00Z">
              <w:r w:rsidR="00200E90">
                <w:rPr>
                  <w:rFonts w:eastAsia="MS Mincho"/>
                  <w:bCs/>
                  <w:color w:val="3333FF"/>
                  <w:sz w:val="18"/>
                  <w:szCs w:val="18"/>
                  <w:lang w:eastAsia="ja-JP"/>
                </w:rPr>
                <w:t>)</w:t>
              </w:r>
            </w:ins>
            <w:ins w:id="95" w:author="Eko Onggosanusi" w:date="2022-08-19T14:53:00Z">
              <w:r w:rsidRPr="00200E90">
                <w:rPr>
                  <w:rFonts w:eastAsia="MS Mincho"/>
                  <w:bCs/>
                  <w:color w:val="3333FF"/>
                  <w:sz w:val="18"/>
                  <w:szCs w:val="18"/>
                  <w:lang w:eastAsia="ja-JP"/>
                </w:rPr>
                <w:t>]</w:t>
              </w:r>
            </w:ins>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r>
              <w:rPr>
                <w:rFonts w:eastAsia="MS Mincho"/>
                <w:sz w:val="18"/>
                <w:szCs w:val="18"/>
                <w:lang w:eastAsia="ja-JP"/>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e prefer Rel-16 eType-II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Suggest to remove the same 2 sub-bullets in Alt2A and Alt2B for simplicity – does it has any different meaning than Alt3? (Alt3 although, we think unnecessary, but OK with the proposal saying down-select)</w:t>
            </w:r>
          </w:p>
          <w:p w14:paraId="4C17EED5" w14:textId="1F8BB725" w:rsidR="0081317F" w:rsidRDefault="00A80B1F" w:rsidP="0081317F">
            <w:pPr>
              <w:widowControl w:val="0"/>
              <w:snapToGrid w:val="0"/>
              <w:rPr>
                <w:ins w:id="96" w:author="Eko Onggosanusi" w:date="2022-08-19T14:51:00Z"/>
                <w:rFonts w:eastAsiaTheme="minorEastAsia"/>
                <w:bCs/>
                <w:sz w:val="18"/>
                <w:szCs w:val="18"/>
                <w:lang w:eastAsia="zh-CN"/>
              </w:rPr>
            </w:pPr>
            <w:ins w:id="97" w:author="Eko Onggosanusi" w:date="2022-08-19T14:50:00Z">
              <w:r>
                <w:rPr>
                  <w:rFonts w:eastAsiaTheme="minorEastAsia"/>
                  <w:bCs/>
                  <w:sz w:val="18"/>
                  <w:szCs w:val="18"/>
                  <w:lang w:eastAsia="zh-CN"/>
                </w:rPr>
                <w:t xml:space="preserve">[Mod: </w:t>
              </w:r>
            </w:ins>
            <w:ins w:id="98" w:author="Eko Onggosanusi" w:date="2022-08-19T14:51:00Z">
              <w:r>
                <w:rPr>
                  <w:rFonts w:eastAsiaTheme="minorEastAsia"/>
                  <w:bCs/>
                  <w:sz w:val="18"/>
                  <w:szCs w:val="18"/>
                  <w:lang w:eastAsia="zh-CN"/>
                </w:rPr>
                <w:t>We can do this in the next round after further discussion in conjunction with the basis issue. But I want to make this smaller progress first.</w:t>
              </w:r>
            </w:ins>
            <w:ins w:id="99" w:author="Eko Onggosanusi" w:date="2022-08-19T14:50:00Z">
              <w:r>
                <w:rPr>
                  <w:rFonts w:eastAsiaTheme="minorEastAsia"/>
                  <w:bCs/>
                  <w:sz w:val="18"/>
                  <w:szCs w:val="18"/>
                  <w:lang w:eastAsia="zh-CN"/>
                </w:rPr>
                <w:t>]</w:t>
              </w:r>
            </w:ins>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ins w:id="100" w:author="Eko Onggosanusi" w:date="2022-08-19T14:51:00Z"/>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ins w:id="101" w:author="Eko Onggosanusi" w:date="2022-08-19T14:52:00Z"/>
                <w:rFonts w:eastAsiaTheme="minorEastAsia"/>
                <w:bCs/>
                <w:sz w:val="18"/>
                <w:szCs w:val="18"/>
                <w:lang w:eastAsia="zh-CN"/>
              </w:rPr>
            </w:pPr>
            <w:ins w:id="102" w:author="Eko Onggosanusi" w:date="2022-08-19T14:51:00Z">
              <w:r>
                <w:rPr>
                  <w:rFonts w:eastAsiaTheme="minorEastAsia"/>
                  <w:bCs/>
                  <w:sz w:val="18"/>
                  <w:szCs w:val="18"/>
                  <w:lang w:eastAsia="zh-CN"/>
                </w:rPr>
                <w:t xml:space="preserve">[Mod: Please see my previous comment to Samsung. </w:t>
              </w:r>
            </w:ins>
            <w:ins w:id="103" w:author="Eko Onggosanusi" w:date="2022-08-19T14:52:00Z">
              <w:r>
                <w:rPr>
                  <w:rFonts w:eastAsiaTheme="minorEastAsia"/>
                  <w:bCs/>
                  <w:sz w:val="18"/>
                  <w:szCs w:val="18"/>
                  <w:lang w:eastAsia="zh-CN"/>
                </w:rPr>
                <w:t>I will not add, sorry. But if you and Samsung can convince companies who have strong concern offline (</w:t>
              </w:r>
            </w:ins>
            <w:ins w:id="104" w:author="Eko Onggosanusi" w:date="2022-08-19T14:53:00Z">
              <w:r>
                <w:rPr>
                  <w:rFonts w:eastAsiaTheme="minorEastAsia"/>
                  <w:bCs/>
                  <w:sz w:val="18"/>
                  <w:szCs w:val="18"/>
                  <w:lang w:eastAsia="zh-CN"/>
                </w:rPr>
                <w:t>MediaTek, vivo, Xiaomi, Spreadtrum</w:t>
              </w:r>
            </w:ins>
            <w:ins w:id="105" w:author="Eko Onggosanusi" w:date="2022-08-19T14:52:00Z">
              <w:r>
                <w:rPr>
                  <w:rFonts w:eastAsiaTheme="minorEastAsia"/>
                  <w:bCs/>
                  <w:sz w:val="18"/>
                  <w:szCs w:val="18"/>
                  <w:lang w:eastAsia="zh-CN"/>
                </w:rPr>
                <w:t>), please let me know.</w:t>
              </w:r>
            </w:ins>
            <w:ins w:id="106" w:author="Eko Onggosanusi" w:date="2022-08-19T14:53:00Z">
              <w:r>
                <w:rPr>
                  <w:rFonts w:eastAsiaTheme="minorEastAsia"/>
                  <w:bCs/>
                  <w:sz w:val="18"/>
                  <w:szCs w:val="18"/>
                  <w:lang w:eastAsia="zh-CN"/>
                </w:rPr>
                <w:t xml:space="preserve"> As of now they have not relented their strong concern.</w:t>
              </w:r>
            </w:ins>
            <w:ins w:id="107" w:author="Eko Onggosanusi" w:date="2022-08-19T14:52:00Z">
              <w:r>
                <w:rPr>
                  <w:rFonts w:eastAsiaTheme="minorEastAsia"/>
                  <w:bCs/>
                  <w:sz w:val="18"/>
                  <w:szCs w:val="18"/>
                  <w:lang w:eastAsia="zh-CN"/>
                </w:rPr>
                <w:t>]</w:t>
              </w:r>
            </w:ins>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hint="eastAsia"/>
                <w:sz w:val="18"/>
                <w:szCs w:val="18"/>
                <w:lang w:eastAsia="zh-CN"/>
              </w:rPr>
            </w:pPr>
            <w:r>
              <w:rPr>
                <w:rFonts w:eastAsiaTheme="minorEastAsia"/>
                <w:sz w:val="18"/>
                <w:szCs w:val="18"/>
                <w:lang w:eastAsia="zh-CN"/>
              </w:rPr>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hint="eastAsia"/>
                <w:b/>
                <w:bCs/>
                <w:sz w:val="18"/>
                <w:szCs w:val="18"/>
                <w:lang w:eastAsia="zh-CN"/>
              </w:rPr>
            </w:pPr>
            <w:r w:rsidRPr="00487FF9">
              <w:rPr>
                <w:rFonts w:eastAsiaTheme="minorEastAsia"/>
                <w:b/>
                <w:bCs/>
                <w:color w:val="3333FF"/>
                <w:sz w:val="18"/>
                <w:szCs w:val="18"/>
                <w:lang w:eastAsia="zh-CN"/>
              </w:rPr>
              <w:t>Removed FFS in proposal 2.D per ZTE request (which is ok since if Alt1 is selected we will need to discuss this). If Alt1 is not selected, moot point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lastRenderedPageBreak/>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lastRenderedPageBreak/>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0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0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lastRenderedPageBreak/>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09"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10"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11"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12" w:name="OLE_LINK36"/>
            <w:bookmarkEnd w:id="111"/>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12"/>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13"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13"/>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4"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14"/>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5"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15"/>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6" w:name="_Toc111224790"/>
            <w:r w:rsidRPr="00036889">
              <w:rPr>
                <w:rFonts w:ascii="Times New Roman" w:hAnsi="Times New Roman" w:cs="Times New Roman"/>
                <w:b w:val="0"/>
                <w:sz w:val="16"/>
                <w:szCs w:val="16"/>
              </w:rPr>
              <w:t>The cross-over points of performance for both evaluated use cases are at low speed, e.g, 10km/h.</w:t>
            </w:r>
            <w:bookmarkEnd w:id="116"/>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17"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7"/>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18"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18"/>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19"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19"/>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20"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20"/>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lastRenderedPageBreak/>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w:t>
            </w:r>
            <w:r>
              <w:rPr>
                <w:rFonts w:eastAsiaTheme="minorEastAsia"/>
                <w:sz w:val="18"/>
                <w:szCs w:val="18"/>
                <w:lang w:eastAsia="zh-CN"/>
              </w:rPr>
              <w:lastRenderedPageBreak/>
              <w:t xml:space="preserve">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21" w:name="_Ref111212860"/>
            <w:bookmarkStart w:id="122"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21"/>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22"/>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w:t>
            </w:r>
            <w:r w:rsidRPr="00C91A64">
              <w:rPr>
                <w:bCs/>
                <w:sz w:val="18"/>
                <w:szCs w:val="18"/>
                <w:lang w:eastAsia="en-US"/>
              </w:rPr>
              <w:lastRenderedPageBreak/>
              <w:t xml:space="preserve">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ins w:id="123" w:author="Eko Onggosanusi" w:date="2022-08-19T14:59:00Z">
              <w:r>
                <w:rPr>
                  <w:b/>
                  <w:color w:val="3333FF"/>
                  <w:sz w:val="18"/>
                  <w:szCs w:val="18"/>
                  <w:lang w:eastAsia="en-US"/>
                </w:rPr>
                <w:t>[Mod: This can be discussed later after the TDCP type is finalized]</w:t>
              </w:r>
            </w:ins>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lastRenderedPageBreak/>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786A35"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786A35"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786A35"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786A35"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786A35"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786A35"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786A35"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786A35"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786A35"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786A35"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786A35"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786A35"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786A35"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786A35"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786A35"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786A35"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786A35"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786A35"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786A35"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786A35"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786A35"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786A35"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786A35"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786A35"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786A35"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786A35"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786A35"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786A35"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90F2" w16cex:dateUtc="2022-08-19T14:45:00Z"/>
  <w16cex:commentExtensible w16cex:durableId="26AAA43D" w16cex:dateUtc="2022-08-19T16:07:00Z"/>
  <w16cex:commentExtensible w16cex:durableId="26AAA9FB" w16cex:dateUtc="2022-08-19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F8D04" w16cid:durableId="26AA90F2"/>
  <w16cid:commentId w16cid:paraId="099193DF" w16cid:durableId="26AAA43D"/>
  <w16cid:commentId w16cid:paraId="30E27515" w16cid:durableId="26AAA9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F1C5B" w14:textId="77777777" w:rsidR="00650605" w:rsidRDefault="00650605" w:rsidP="00BC19F2">
      <w:r>
        <w:separator/>
      </w:r>
    </w:p>
  </w:endnote>
  <w:endnote w:type="continuationSeparator" w:id="0">
    <w:p w14:paraId="3248D932" w14:textId="77777777" w:rsidR="00650605" w:rsidRDefault="0065060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EE26" w14:textId="77777777" w:rsidR="00650605" w:rsidRDefault="00650605" w:rsidP="00BC19F2">
      <w:r>
        <w:separator/>
      </w:r>
    </w:p>
  </w:footnote>
  <w:footnote w:type="continuationSeparator" w:id="0">
    <w:p w14:paraId="11E03118" w14:textId="77777777" w:rsidR="00650605" w:rsidRDefault="0065060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6"/>
  </w:num>
  <w:num w:numId="3">
    <w:abstractNumId w:val="38"/>
  </w:num>
  <w:num w:numId="4">
    <w:abstractNumId w:val="59"/>
  </w:num>
  <w:num w:numId="5">
    <w:abstractNumId w:val="80"/>
  </w:num>
  <w:num w:numId="6">
    <w:abstractNumId w:val="9"/>
  </w:num>
  <w:num w:numId="7">
    <w:abstractNumId w:val="69"/>
  </w:num>
  <w:num w:numId="8">
    <w:abstractNumId w:val="84"/>
  </w:num>
  <w:num w:numId="9">
    <w:abstractNumId w:val="15"/>
  </w:num>
  <w:num w:numId="10">
    <w:abstractNumId w:val="34"/>
  </w:num>
  <w:num w:numId="11">
    <w:abstractNumId w:val="75"/>
  </w:num>
  <w:num w:numId="12">
    <w:abstractNumId w:val="62"/>
  </w:num>
  <w:num w:numId="13">
    <w:abstractNumId w:val="72"/>
  </w:num>
  <w:num w:numId="14">
    <w:abstractNumId w:val="83"/>
  </w:num>
  <w:num w:numId="15">
    <w:abstractNumId w:val="40"/>
  </w:num>
  <w:num w:numId="16">
    <w:abstractNumId w:val="50"/>
  </w:num>
  <w:num w:numId="17">
    <w:abstractNumId w:val="76"/>
  </w:num>
  <w:num w:numId="18">
    <w:abstractNumId w:val="55"/>
  </w:num>
  <w:num w:numId="19">
    <w:abstractNumId w:val="41"/>
  </w:num>
  <w:num w:numId="20">
    <w:abstractNumId w:val="21"/>
  </w:num>
  <w:num w:numId="21">
    <w:abstractNumId w:val="54"/>
  </w:num>
  <w:num w:numId="22">
    <w:abstractNumId w:val="2"/>
  </w:num>
  <w:num w:numId="23">
    <w:abstractNumId w:val="74"/>
  </w:num>
  <w:num w:numId="24">
    <w:abstractNumId w:val="13"/>
  </w:num>
  <w:num w:numId="25">
    <w:abstractNumId w:val="24"/>
  </w:num>
  <w:num w:numId="26">
    <w:abstractNumId w:val="65"/>
  </w:num>
  <w:num w:numId="27">
    <w:abstractNumId w:val="6"/>
  </w:num>
  <w:num w:numId="28">
    <w:abstractNumId w:val="25"/>
  </w:num>
  <w:num w:numId="29">
    <w:abstractNumId w:val="58"/>
  </w:num>
  <w:num w:numId="30">
    <w:abstractNumId w:val="7"/>
  </w:num>
  <w:num w:numId="31">
    <w:abstractNumId w:val="47"/>
  </w:num>
  <w:num w:numId="32">
    <w:abstractNumId w:val="52"/>
  </w:num>
  <w:num w:numId="33">
    <w:abstractNumId w:val="61"/>
  </w:num>
  <w:num w:numId="34">
    <w:abstractNumId w:val="36"/>
  </w:num>
  <w:num w:numId="35">
    <w:abstractNumId w:val="68"/>
  </w:num>
  <w:num w:numId="36">
    <w:abstractNumId w:val="37"/>
  </w:num>
  <w:num w:numId="37">
    <w:abstractNumId w:val="23"/>
  </w:num>
  <w:num w:numId="38">
    <w:abstractNumId w:val="0"/>
  </w:num>
  <w:num w:numId="39">
    <w:abstractNumId w:val="67"/>
  </w:num>
  <w:num w:numId="40">
    <w:abstractNumId w:val="14"/>
  </w:num>
  <w:num w:numId="41">
    <w:abstractNumId w:val="27"/>
  </w:num>
  <w:num w:numId="42">
    <w:abstractNumId w:val="12"/>
  </w:num>
  <w:num w:numId="43">
    <w:abstractNumId w:val="11"/>
  </w:num>
  <w:num w:numId="44">
    <w:abstractNumId w:val="49"/>
  </w:num>
  <w:num w:numId="45">
    <w:abstractNumId w:val="19"/>
  </w:num>
  <w:num w:numId="46">
    <w:abstractNumId w:val="20"/>
  </w:num>
  <w:num w:numId="47">
    <w:abstractNumId w:val="70"/>
  </w:num>
  <w:num w:numId="48">
    <w:abstractNumId w:val="30"/>
  </w:num>
  <w:num w:numId="49">
    <w:abstractNumId w:val="81"/>
  </w:num>
  <w:num w:numId="50">
    <w:abstractNumId w:val="57"/>
  </w:num>
  <w:num w:numId="51">
    <w:abstractNumId w:val="33"/>
  </w:num>
  <w:num w:numId="52">
    <w:abstractNumId w:val="39"/>
  </w:num>
  <w:num w:numId="53">
    <w:abstractNumId w:val="64"/>
  </w:num>
  <w:num w:numId="54">
    <w:abstractNumId w:val="43"/>
  </w:num>
  <w:num w:numId="55">
    <w:abstractNumId w:val="48"/>
  </w:num>
  <w:num w:numId="56">
    <w:abstractNumId w:val="5"/>
  </w:num>
  <w:num w:numId="57">
    <w:abstractNumId w:val="28"/>
  </w:num>
  <w:num w:numId="58">
    <w:abstractNumId w:val="22"/>
  </w:num>
  <w:num w:numId="59">
    <w:abstractNumId w:val="46"/>
  </w:num>
  <w:num w:numId="60">
    <w:abstractNumId w:val="44"/>
  </w:num>
  <w:num w:numId="61">
    <w:abstractNumId w:val="71"/>
  </w:num>
  <w:num w:numId="62">
    <w:abstractNumId w:val="31"/>
  </w:num>
  <w:num w:numId="63">
    <w:abstractNumId w:val="35"/>
  </w:num>
  <w:num w:numId="64">
    <w:abstractNumId w:val="3"/>
  </w:num>
  <w:num w:numId="65">
    <w:abstractNumId w:val="29"/>
  </w:num>
  <w:num w:numId="66">
    <w:abstractNumId w:val="45"/>
  </w:num>
  <w:num w:numId="67">
    <w:abstractNumId w:val="32"/>
  </w:num>
  <w:num w:numId="68">
    <w:abstractNumId w:val="16"/>
  </w:num>
  <w:num w:numId="69">
    <w:abstractNumId w:val="51"/>
  </w:num>
  <w:num w:numId="70">
    <w:abstractNumId w:val="1"/>
  </w:num>
  <w:num w:numId="71">
    <w:abstractNumId w:val="85"/>
  </w:num>
  <w:num w:numId="72">
    <w:abstractNumId w:val="60"/>
  </w:num>
  <w:num w:numId="73">
    <w:abstractNumId w:val="42"/>
  </w:num>
  <w:num w:numId="74">
    <w:abstractNumId w:val="41"/>
  </w:num>
  <w:num w:numId="75">
    <w:abstractNumId w:val="26"/>
  </w:num>
  <w:num w:numId="76">
    <w:abstractNumId w:val="79"/>
  </w:num>
  <w:num w:numId="77">
    <w:abstractNumId w:val="4"/>
  </w:num>
  <w:num w:numId="78">
    <w:abstractNumId w:val="56"/>
  </w:num>
  <w:num w:numId="79">
    <w:abstractNumId w:val="18"/>
  </w:num>
  <w:num w:numId="80">
    <w:abstractNumId w:val="82"/>
  </w:num>
  <w:num w:numId="81">
    <w:abstractNumId w:val="53"/>
  </w:num>
  <w:num w:numId="82">
    <w:abstractNumId w:val="73"/>
  </w:num>
  <w:num w:numId="83">
    <w:abstractNumId w:val="78"/>
  </w:num>
  <w:num w:numId="84">
    <w:abstractNumId w:val="63"/>
  </w:num>
  <w:num w:numId="85">
    <w:abstractNumId w:val="87"/>
  </w:num>
  <w:num w:numId="86">
    <w:abstractNumId w:val="10"/>
  </w:num>
  <w:num w:numId="87">
    <w:abstractNumId w:val="86"/>
  </w:num>
  <w:num w:numId="88">
    <w:abstractNumId w:val="77"/>
  </w:num>
  <w:num w:numId="89">
    <w:abstractNumId w:val="1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3D54"/>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845EF"/>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hyperlink" Target="https://www.3gpp.org/ftp/TSG_RAN/WG1_RL1/TSGR1_110/Docs/R1-2206189.zip" TargetMode="External"/><Relationship Id="rId41" Type="http://schemas.openxmlformats.org/officeDocument/2006/relationships/hyperlink" Target="https://www.3gpp.org/ftp/TSG_RAN/WG1_RL1/TSGR1_110/Docs/R1-2206992.zip"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CF9B-7FC8-4361-BD71-31F9A655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22994</Words>
  <Characters>131070</Characters>
  <Application>Microsoft Office Word</Application>
  <DocSecurity>0</DocSecurity>
  <Lines>1092</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2022-08-20T02:43:00Z</dcterms:created>
  <dcterms:modified xsi:type="dcterms:W3CDTF">2022-08-20T02:49:00Z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