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701D2B2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bookmarkStart w:id="2" w:name="_GoBack"/>
            <w:bookmarkEnd w:id="2"/>
          </w:p>
          <w:p w14:paraId="05F3189C" w14:textId="77777777" w:rsidR="001A2338" w:rsidRPr="00E57004"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1B6C8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5DBC275E"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3BE95E8"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5D8A6900" w:rsidR="001E0558" w:rsidRPr="00E57004" w:rsidRDefault="001E0558" w:rsidP="001E0558">
            <w:pPr>
              <w:snapToGrid w:val="0"/>
              <w:spacing w:after="0"/>
              <w:rPr>
                <w:rFonts w:ascii="Times New Roman" w:eastAsia="等线"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等线" w:hAnsi="Times New Roman" w:cs="Times New Roman" w:hint="eastAsia"/>
                <w:sz w:val="16"/>
                <w:szCs w:val="18"/>
                <w:lang w:eastAsia="zh-CN"/>
              </w:rPr>
              <w:t>, CATT</w:t>
            </w:r>
            <w:r w:rsidRPr="00E57004">
              <w:rPr>
                <w:rFonts w:ascii="Times New Roman" w:eastAsia="等线" w:hAnsi="Times New Roman" w:cs="Times New Roman"/>
                <w:sz w:val="16"/>
                <w:szCs w:val="18"/>
                <w:lang w:eastAsia="zh-CN"/>
              </w:rPr>
              <w:t>,</w:t>
            </w:r>
            <w:r w:rsidRPr="00E57004">
              <w:rPr>
                <w:rFonts w:ascii="Times New Roman" w:hAnsi="Times New Roman" w:cs="Times New Roman"/>
                <w:sz w:val="16"/>
                <w:szCs w:val="18"/>
              </w:rPr>
              <w:t xml:space="preserve"> OPPO, LG, Intel</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18FF66DD"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the </w:t>
      </w:r>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00E875CE">
        <w:rPr>
          <w:rFonts w:ascii="Times New Roman" w:hAnsi="Times New Roman" w:cs="Times New Roman"/>
          <w:color w:val="000000" w:themeColor="text1"/>
          <w:sz w:val="18"/>
          <w:szCs w:val="18"/>
        </w:rPr>
        <w:t>two</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5C62AE79"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84CD345" w14:textId="77777777"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6C9632AC" w14:textId="0349532B"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w:t>
            </w:r>
            <w:proofErr w:type="gramStart"/>
            <w:r>
              <w:rPr>
                <w:rFonts w:ascii="Times New Roman" w:eastAsia="等线" w:hAnsi="Times New Roman" w:cs="Times New Roman"/>
                <w:sz w:val="18"/>
                <w:szCs w:val="18"/>
                <w:lang w:eastAsia="zh-CN"/>
              </w:rPr>
              <w:t>TCI</w:t>
            </w:r>
            <w:proofErr w:type="gramEnd"/>
            <w:r>
              <w:rPr>
                <w:rFonts w:ascii="Times New Roman" w:eastAsia="等线" w:hAnsi="Times New Roman" w:cs="Times New Roman"/>
                <w:sz w:val="18"/>
                <w:szCs w:val="18"/>
                <w:lang w:eastAsia="zh-CN"/>
              </w:rPr>
              <w:t xml:space="preserve">(s) to every PDSCH DMRS port, since every stream is </w:t>
            </w:r>
            <w:proofErr w:type="spellStart"/>
            <w:r>
              <w:rPr>
                <w:rFonts w:ascii="Times New Roman" w:eastAsia="等线" w:hAnsi="Times New Roman" w:cs="Times New Roman"/>
                <w:sz w:val="18"/>
                <w:szCs w:val="18"/>
                <w:lang w:eastAsia="zh-CN"/>
              </w:rPr>
              <w:t>precoded</w:t>
            </w:r>
            <w:proofErr w:type="spellEnd"/>
            <w:r>
              <w:rPr>
                <w:rFonts w:ascii="Times New Roman" w:eastAsia="等线" w:hAnsi="Times New Roman" w:cs="Times New Roman"/>
                <w:sz w:val="18"/>
                <w:szCs w:val="18"/>
                <w:lang w:eastAsia="zh-CN"/>
              </w:rPr>
              <w:t xml:space="preserve"> across ALL TRPs in CJT. This can be </w:t>
            </w:r>
            <w:r w:rsidR="006A0E56">
              <w:rPr>
                <w:rFonts w:ascii="Times New Roman" w:eastAsia="等线" w:hAnsi="Times New Roman" w:cs="Times New Roman"/>
                <w:sz w:val="18"/>
                <w:szCs w:val="18"/>
                <w:lang w:eastAsia="zh-CN"/>
              </w:rPr>
              <w:t xml:space="preserve">viewed as </w:t>
            </w:r>
            <w:r>
              <w:rPr>
                <w:rFonts w:ascii="Times New Roman" w:eastAsia="等线" w:hAnsi="Times New Roman" w:cs="Times New Roman"/>
                <w:sz w:val="18"/>
                <w:szCs w:val="18"/>
                <w:lang w:eastAsia="zh-CN"/>
              </w:rPr>
              <w:t>extension of R17 SFN PDSCH potentially with &gt; 2 TCIs i</w:t>
            </w:r>
            <w:r w:rsidR="006A0E56">
              <w:rPr>
                <w:rFonts w:ascii="Times New Roman" w:eastAsia="等线" w:hAnsi="Times New Roman" w:cs="Times New Roman"/>
                <w:sz w:val="18"/>
                <w:szCs w:val="18"/>
                <w:lang w:eastAsia="zh-CN"/>
              </w:rPr>
              <w:t>f it is</w:t>
            </w:r>
            <w:r>
              <w:rPr>
                <w:rFonts w:ascii="Times New Roman" w:eastAsia="等线" w:hAnsi="Times New Roman" w:cs="Times New Roman"/>
                <w:sz w:val="18"/>
                <w:szCs w:val="18"/>
                <w:lang w:eastAsia="zh-CN"/>
              </w:rPr>
              <w:t xml:space="preserve"> agreed.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等线"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62DCBE85" w:rsidR="00D41D76" w:rsidRDefault="00D41D76" w:rsidP="0030772B">
            <w:pPr>
              <w:snapToGrid w:val="0"/>
              <w:spacing w:after="0"/>
              <w:rPr>
                <w:rFonts w:ascii="Times New Roman" w:eastAsia="等线" w:hAnsi="Times New Roman" w:cs="Times New Roman"/>
                <w:sz w:val="18"/>
                <w:szCs w:val="18"/>
                <w:lang w:eastAsia="zh-CN"/>
              </w:rPr>
            </w:pPr>
          </w:p>
          <w:p w14:paraId="4985EB87" w14:textId="7D16B985" w:rsidR="00B521A0" w:rsidRDefault="00B521A0"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1.B, suggest to add 2 DL TCIs in the list. Only 1 activated/indicated DL TCI is allowed in R17 </w:t>
            </w:r>
            <w:r w:rsidR="00091CB3">
              <w:rPr>
                <w:rFonts w:ascii="Times New Roman" w:eastAsia="等线" w:hAnsi="Times New Roman" w:cs="Times New Roman"/>
                <w:sz w:val="18"/>
                <w:szCs w:val="18"/>
                <w:lang w:eastAsia="zh-CN"/>
              </w:rPr>
              <w:t xml:space="preserve">as </w:t>
            </w:r>
            <w:r>
              <w:rPr>
                <w:rFonts w:ascii="Times New Roman" w:eastAsia="等线" w:hAnsi="Times New Roman" w:cs="Times New Roman"/>
                <w:sz w:val="18"/>
                <w:szCs w:val="18"/>
                <w:lang w:eastAsia="zh-CN"/>
              </w:rPr>
              <w:t xml:space="preserve">in 214. </w:t>
            </w:r>
            <w:r w:rsidR="008373CD">
              <w:rPr>
                <w:rFonts w:ascii="Times New Roman" w:eastAsia="等线"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等线"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等线"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77777777" w:rsidR="00D41D76" w:rsidRDefault="00D41D76" w:rsidP="0030772B">
            <w:pPr>
              <w:snapToGrid w:val="0"/>
              <w:spacing w:after="0"/>
              <w:rPr>
                <w:rFonts w:ascii="Times New Roman" w:eastAsia="等线" w:hAnsi="Times New Roman" w:cs="Times New Roman"/>
                <w:sz w:val="18"/>
                <w:szCs w:val="18"/>
                <w:lang w:eastAsia="zh-CN"/>
              </w:rPr>
            </w:pPr>
          </w:p>
          <w:p w14:paraId="5CAF5830" w14:textId="38869E44" w:rsidR="00CA773D" w:rsidRDefault="00CA773D"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1.3, as elaborated in last round, </w:t>
            </w:r>
            <w:r w:rsidRPr="00CA773D">
              <w:rPr>
                <w:rFonts w:ascii="Times New Roman" w:eastAsia="等线"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等线" w:hAnsi="Times New Roman" w:cs="Times New Roman"/>
                <w:sz w:val="18"/>
                <w:szCs w:val="18"/>
                <w:lang w:eastAsia="zh-CN"/>
              </w:rPr>
            </w:pPr>
          </w:p>
          <w:p w14:paraId="46B8F37C" w14:textId="36F5B3F8" w:rsidR="00CA773D" w:rsidRDefault="00C618A5"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w:t>
            </w:r>
            <w:r w:rsidR="00B37DB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flexibility to allocate different </w:t>
            </w:r>
            <w:r w:rsidR="00B37DB2">
              <w:rPr>
                <w:rFonts w:ascii="Times New Roman" w:eastAsia="等线" w:hAnsi="Times New Roman" w:cs="Times New Roman"/>
                <w:sz w:val="18"/>
                <w:szCs w:val="18"/>
                <w:lang w:eastAsia="zh-CN"/>
              </w:rPr>
              <w:t xml:space="preserve"># of </w:t>
            </w:r>
            <w:r>
              <w:rPr>
                <w:rFonts w:ascii="Times New Roman" w:eastAsia="等线" w:hAnsi="Times New Roman" w:cs="Times New Roman"/>
                <w:sz w:val="18"/>
                <w:szCs w:val="18"/>
                <w:lang w:eastAsia="zh-CN"/>
              </w:rPr>
              <w:t xml:space="preserve">TCIs among the two TRPs. Total </w:t>
            </w:r>
            <w:r w:rsidR="00B37DB2">
              <w:rPr>
                <w:rFonts w:ascii="Times New Roman" w:eastAsia="等线" w:hAnsi="Times New Roman" w:cs="Times New Roman"/>
                <w:sz w:val="18"/>
                <w:szCs w:val="18"/>
                <w:lang w:eastAsia="zh-CN"/>
              </w:rPr>
              <w:t xml:space="preserve">configured </w:t>
            </w:r>
            <w:r>
              <w:rPr>
                <w:rFonts w:ascii="Times New Roman" w:eastAsia="等线"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等线"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w:t>
            </w:r>
            <w:proofErr w:type="gramStart"/>
            <w:r>
              <w:rPr>
                <w:rFonts w:ascii="Times New Roman" w:hAnsi="Times New Roman" w:cs="Times New Roman"/>
                <w:sz w:val="18"/>
                <w:szCs w:val="18"/>
              </w:rPr>
              <w:t>more aligned and clear</w:t>
            </w:r>
            <w:proofErr w:type="gramEnd"/>
            <w:r>
              <w:rPr>
                <w:rFonts w:ascii="Times New Roman" w:hAnsi="Times New Roman" w:cs="Times New Roman"/>
                <w:sz w:val="18"/>
                <w:szCs w:val="18"/>
              </w:rPr>
              <w:t xml:space="preserve">.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2E4C183A" w14:textId="77777777" w:rsidR="008510C5" w:rsidRDefault="008510C5" w:rsidP="0030772B">
            <w:pPr>
              <w:snapToGrid w:val="0"/>
              <w:spacing w:after="0"/>
              <w:rPr>
                <w:rFonts w:ascii="Times New Roman" w:hAnsi="Times New Roman" w:cs="Times New Roman"/>
                <w:sz w:val="18"/>
                <w:szCs w:val="18"/>
              </w:rPr>
            </w:pPr>
          </w:p>
          <w:p w14:paraId="08B41150" w14:textId="4A48DE2C"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77777777" w:rsidR="00A45581" w:rsidRDefault="00A45581" w:rsidP="00A45581">
            <w:pPr>
              <w:spacing w:after="0" w:line="240" w:lineRule="auto"/>
              <w:rPr>
                <w:rFonts w:ascii="Times New Roman" w:hAnsi="Times New Roman" w:cs="Times New Roman"/>
                <w:sz w:val="18"/>
                <w:szCs w:val="18"/>
              </w:rPr>
            </w:pP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61C159B" w14:textId="66A79EFB" w:rsidR="00A45581" w:rsidRP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CE5623C" w14:textId="77777777" w:rsidR="00E219B8" w:rsidRPr="00F31F26" w:rsidRDefault="00E219B8" w:rsidP="0030772B">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B8D37C3" w14:textId="77777777" w:rsidR="00E219B8" w:rsidRPr="00F31F26" w:rsidRDefault="00E219B8" w:rsidP="0030772B">
            <w:pPr>
              <w:snapToGrid w:val="0"/>
              <w:spacing w:after="0"/>
              <w:rPr>
                <w:rFonts w:ascii="Times New Roman" w:hAnsi="Times New Roman" w:cs="Times New Roman"/>
                <w:sz w:val="18"/>
                <w:szCs w:val="18"/>
              </w:rPr>
            </w:pP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D5D87D" w14:textId="77777777" w:rsidR="00E219B8" w:rsidRPr="00F31F26" w:rsidRDefault="00E219B8" w:rsidP="0030772B">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26EACF06"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tc>
        <w:tc>
          <w:tcPr>
            <w:tcW w:w="1868" w:type="dxa"/>
          </w:tcPr>
          <w:p w14:paraId="508FC4D4" w14:textId="33DB05C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1.B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341F133"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w:t>
            </w:r>
            <w:proofErr w:type="spellStart"/>
            <w:r>
              <w:rPr>
                <w:rFonts w:ascii="Times New Roman" w:eastAsia="等线" w:hAnsi="Times New Roman" w:cs="Times New Roman"/>
                <w:sz w:val="18"/>
                <w:szCs w:val="18"/>
                <w:lang w:eastAsia="zh-CN"/>
              </w:rPr>
              <w:t>sDCI</w:t>
            </w:r>
            <w:proofErr w:type="spellEnd"/>
            <w:r>
              <w:rPr>
                <w:rFonts w:ascii="Times New Roman" w:eastAsia="等线" w:hAnsi="Times New Roman" w:cs="Times New Roman"/>
                <w:sz w:val="18"/>
                <w:szCs w:val="18"/>
                <w:lang w:eastAsia="zh-CN"/>
              </w:rPr>
              <w:t xml:space="preserve"> focuses on joint scheduling, while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is mainly for separate scheduling, wh</w:t>
            </w:r>
            <w:r w:rsidR="002B7288">
              <w:rPr>
                <w:rFonts w:ascii="Times New Roman" w:eastAsia="等线" w:hAnsi="Times New Roman" w:cs="Times New Roman"/>
                <w:sz w:val="18"/>
                <w:szCs w:val="18"/>
                <w:lang w:eastAsia="zh-CN"/>
              </w:rPr>
              <w:t>ere</w:t>
            </w:r>
            <w:r>
              <w:rPr>
                <w:rFonts w:ascii="Times New Roman" w:eastAsia="等线" w:hAnsi="Times New Roman" w:cs="Times New Roman"/>
                <w:sz w:val="18"/>
                <w:szCs w:val="18"/>
                <w:lang w:eastAsia="zh-CN"/>
              </w:rPr>
              <w:t xml:space="preserve"> the TRP ID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simplifies the design a lot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w:t>
            </w:r>
            <w:proofErr w:type="gramStart"/>
            <w:r w:rsidR="002B7288">
              <w:rPr>
                <w:rFonts w:ascii="Times New Roman" w:eastAsia="等线" w:hAnsi="Times New Roman" w:cs="Times New Roman"/>
                <w:sz w:val="18"/>
                <w:szCs w:val="18"/>
                <w:lang w:eastAsia="zh-CN"/>
              </w:rPr>
              <w:t>So</w:t>
            </w:r>
            <w:proofErr w:type="gramEnd"/>
            <w:r w:rsidR="002B7288">
              <w:rPr>
                <w:rFonts w:ascii="Times New Roman" w:eastAsia="等线" w:hAnsi="Times New Roman" w:cs="Times New Roman"/>
                <w:sz w:val="18"/>
                <w:szCs w:val="18"/>
                <w:lang w:eastAsia="zh-CN"/>
              </w:rPr>
              <w:t xml:space="preserve"> we believe following the legacy per-</w:t>
            </w:r>
            <w:proofErr w:type="spellStart"/>
            <w:r w:rsidR="002B7288">
              <w:rPr>
                <w:rFonts w:ascii="Times New Roman" w:eastAsia="等线" w:hAnsi="Times New Roman" w:cs="Times New Roman"/>
                <w:sz w:val="18"/>
                <w:szCs w:val="18"/>
                <w:lang w:eastAsia="zh-CN"/>
              </w:rPr>
              <w:t>CORESETPoolIndex</w:t>
            </w:r>
            <w:proofErr w:type="spellEnd"/>
            <w:r w:rsidR="002B7288">
              <w:rPr>
                <w:rFonts w:ascii="Times New Roman" w:eastAsia="等线" w:hAnsi="Times New Roman" w:cs="Times New Roman"/>
                <w:sz w:val="18"/>
                <w:szCs w:val="18"/>
                <w:lang w:eastAsia="zh-CN"/>
              </w:rPr>
              <w:t xml:space="preserve"> TCI indication is most efficient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等线" w:hAnsi="Times New Roman" w:cs="Times New Roman"/>
                <w:sz w:val="18"/>
                <w:szCs w:val="18"/>
                <w:lang w:eastAsia="zh-CN"/>
              </w:rPr>
            </w:pPr>
          </w:p>
          <w:p w14:paraId="27F3123D" w14:textId="4C5B7C36" w:rsidR="00BF3D0D" w:rsidRDefault="00BF3D0D"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w:t>
            </w:r>
            <w:r w:rsidR="00EB2A3B">
              <w:rPr>
                <w:rFonts w:ascii="Times New Roman" w:eastAsia="等线"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等线" w:hAnsi="Times New Roman" w:cs="Times New Roman"/>
                <w:sz w:val="18"/>
                <w:szCs w:val="18"/>
                <w:lang w:eastAsia="zh-CN"/>
              </w:rPr>
            </w:pPr>
          </w:p>
          <w:p w14:paraId="3C401557" w14:textId="189E61C7" w:rsidR="002F5665" w:rsidRDefault="002F5665"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2.2 and 2.3, we think current TCI field with 8 codepoints are sufficient for </w:t>
            </w:r>
            <w:proofErr w:type="spellStart"/>
            <w:r>
              <w:rPr>
                <w:rFonts w:ascii="Times New Roman" w:eastAsia="等线"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等线"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t>
            </w:r>
            <w:r w:rsidR="00730FDE">
              <w:rPr>
                <w:rFonts w:ascii="Times New Roman" w:eastAsia="等线" w:hAnsi="Times New Roman" w:cs="Times New Roman"/>
                <w:sz w:val="18"/>
                <w:szCs w:val="18"/>
                <w:lang w:eastAsia="zh-CN"/>
              </w:rPr>
              <w:t>(</w:t>
            </w:r>
            <w:proofErr w:type="spellStart"/>
            <w:r w:rsidR="00730FDE">
              <w:rPr>
                <w:rFonts w:ascii="Times New Roman" w:eastAsia="等线" w:hAnsi="Times New Roman" w:cs="Times New Roman"/>
                <w:sz w:val="18"/>
                <w:szCs w:val="18"/>
                <w:lang w:eastAsia="zh-CN"/>
              </w:rPr>
              <w:t>w.o.</w:t>
            </w:r>
            <w:proofErr w:type="spellEnd"/>
            <w:r w:rsidR="00730FDE">
              <w:rPr>
                <w:rFonts w:ascii="Times New Roman" w:eastAsia="等线" w:hAnsi="Times New Roman" w:cs="Times New Roman"/>
                <w:sz w:val="18"/>
                <w:szCs w:val="18"/>
                <w:lang w:eastAsia="zh-CN"/>
              </w:rPr>
              <w:t xml:space="preserve">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or w.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and implementations</w:t>
            </w:r>
            <w:r w:rsidR="00730FDE">
              <w:rPr>
                <w:rFonts w:ascii="Times New Roman" w:eastAsia="等线" w:hAnsi="Times New Roman" w:cs="Times New Roman"/>
                <w:sz w:val="18"/>
                <w:szCs w:val="18"/>
                <w:lang w:eastAsia="zh-CN"/>
              </w:rPr>
              <w:t xml:space="preserve"> (ideal backhaul with joint scheduling or non-ideal backhaul with independent scheduling)</w:t>
            </w:r>
            <w:r>
              <w:rPr>
                <w:rFonts w:ascii="Times New Roman" w:eastAsia="等线" w:hAnsi="Times New Roman" w:cs="Times New Roman"/>
                <w:sz w:val="18"/>
                <w:szCs w:val="18"/>
                <w:lang w:eastAsia="zh-CN"/>
              </w:rPr>
              <w:t xml:space="preserve">, we may not need to pursue unified solution for UTCI state indication/update. </w:t>
            </w:r>
            <w:r w:rsidR="00730FDE">
              <w:rPr>
                <w:rFonts w:ascii="Times New Roman" w:eastAsia="等线"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等线" w:hAnsi="Times New Roman" w:cs="Times New Roman"/>
                <w:sz w:val="18"/>
                <w:szCs w:val="18"/>
                <w:lang w:eastAsia="zh-CN"/>
              </w:rPr>
            </w:pPr>
          </w:p>
          <w:p w14:paraId="7E747ED7" w14:textId="16A98CCC" w:rsidR="00730FDE" w:rsidRDefault="00730FD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等线"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1C7D6371" w14:textId="77777777" w:rsidR="004C1FB6" w:rsidRDefault="004C1FB6" w:rsidP="004C1FB6">
            <w:pPr>
              <w:snapToGrid w:val="0"/>
              <w:spacing w:after="0"/>
              <w:rPr>
                <w:rFonts w:ascii="Times New Roman" w:eastAsia="等线" w:hAnsi="Times New Roman" w:cs="Times New Roman"/>
                <w:sz w:val="18"/>
                <w:szCs w:val="18"/>
                <w:lang w:eastAsia="zh-CN"/>
              </w:rPr>
            </w:pP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77777777" w:rsidR="004C1FB6" w:rsidRDefault="004C1FB6" w:rsidP="004C1FB6">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7F5EB3C" w14:textId="77777777" w:rsidR="004C1FB6" w:rsidRDefault="004C1FB6" w:rsidP="004C1FB6">
            <w:pPr>
              <w:snapToGrid w:val="0"/>
              <w:spacing w:after="0"/>
              <w:rPr>
                <w:rFonts w:ascii="Times New Roman" w:hAnsi="Times New Roman" w:cs="Times New Roman"/>
                <w:sz w:val="18"/>
                <w:szCs w:val="18"/>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lastRenderedPageBreak/>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E57004">
              <w:rPr>
                <w:rFonts w:ascii="Times New Roman" w:hAnsi="Times New Roman" w:cs="Times New Roman"/>
                <w:sz w:val="16"/>
                <w:szCs w:val="18"/>
              </w:rPr>
              <w:t>Huawei/HiSilicon</w:t>
            </w:r>
            <w:r w:rsidR="009C727B">
              <w:rPr>
                <w:rFonts w:ascii="Times New Roman" w:hAnsi="Times New Roman" w:cs="Times New Roman"/>
                <w:sz w:val="16"/>
                <w:szCs w:val="18"/>
              </w:rPr>
              <w:t>,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00313F5D"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8F0ACB3"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lastRenderedPageBreak/>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0CF53876"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等线" w:hAnsi="Times New Roman" w:cs="Times New Roman"/>
                <w:sz w:val="18"/>
                <w:szCs w:val="18"/>
                <w:lang w:eastAsia="zh-CN"/>
              </w:rPr>
              <w:t xml:space="preserve">This is similar to RRC configured </w:t>
            </w:r>
            <w:proofErr w:type="spellStart"/>
            <w:r w:rsidR="007C40BD">
              <w:rPr>
                <w:rFonts w:ascii="Times New Roman" w:eastAsia="等线" w:hAnsi="Times New Roman" w:cs="Times New Roman"/>
                <w:sz w:val="18"/>
                <w:szCs w:val="18"/>
                <w:lang w:eastAsia="zh-CN"/>
              </w:rPr>
              <w:t>CORESETPoolIndex</w:t>
            </w:r>
            <w:proofErr w:type="spellEnd"/>
            <w:r w:rsidR="007C40BD">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等线" w:hAnsi="Times New Roman" w:cs="Times New Roman"/>
                <w:sz w:val="18"/>
                <w:szCs w:val="18"/>
                <w:lang w:eastAsia="zh-CN"/>
              </w:rPr>
            </w:pPr>
          </w:p>
          <w:p w14:paraId="0B9B83D4" w14:textId="0315E01C" w:rsidR="00E276AE" w:rsidRDefault="00AC4925"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w:t>
            </w:r>
            <w:r w:rsidR="004C77EC">
              <w:rPr>
                <w:rFonts w:ascii="Times New Roman" w:eastAsia="等线"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等线" w:hAnsi="Times New Roman" w:cs="Times New Roman"/>
                <w:sz w:val="18"/>
                <w:szCs w:val="18"/>
                <w:lang w:eastAsia="zh-CN"/>
              </w:rPr>
              <w:t>sTRP</w:t>
            </w:r>
            <w:proofErr w:type="spellEnd"/>
            <w:r w:rsidR="004C77EC">
              <w:rPr>
                <w:rFonts w:ascii="Times New Roman" w:eastAsia="等线" w:hAnsi="Times New Roman" w:cs="Times New Roman"/>
                <w:sz w:val="18"/>
                <w:szCs w:val="18"/>
                <w:lang w:eastAsia="zh-CN"/>
              </w:rPr>
              <w:t xml:space="preserve"> operation? If so, </w:t>
            </w:r>
            <w:proofErr w:type="spellStart"/>
            <w:r w:rsidR="004C77EC">
              <w:rPr>
                <w:rFonts w:ascii="Times New Roman" w:eastAsia="等线" w:hAnsi="Times New Roman" w:cs="Times New Roman"/>
                <w:sz w:val="18"/>
                <w:szCs w:val="18"/>
                <w:lang w:eastAsia="zh-CN"/>
              </w:rPr>
              <w:t>gNB</w:t>
            </w:r>
            <w:proofErr w:type="spellEnd"/>
            <w:r w:rsidR="004C77EC">
              <w:rPr>
                <w:rFonts w:ascii="Times New Roman" w:eastAsia="等线" w:hAnsi="Times New Roman" w:cs="Times New Roman"/>
                <w:sz w:val="18"/>
                <w:szCs w:val="18"/>
                <w:lang w:eastAsia="zh-CN"/>
              </w:rPr>
              <w:t xml:space="preserve"> may need to send another DCI later to resume the </w:t>
            </w:r>
            <w:proofErr w:type="spellStart"/>
            <w:r w:rsidR="004C77EC">
              <w:rPr>
                <w:rFonts w:ascii="Times New Roman" w:eastAsia="等线" w:hAnsi="Times New Roman" w:cs="Times New Roman"/>
                <w:sz w:val="18"/>
                <w:szCs w:val="18"/>
                <w:lang w:eastAsia="zh-CN"/>
              </w:rPr>
              <w:t>mTRP</w:t>
            </w:r>
            <w:proofErr w:type="spellEnd"/>
            <w:r w:rsidR="004C77EC">
              <w:rPr>
                <w:rFonts w:ascii="Times New Roman" w:eastAsia="等线"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等线" w:hAnsi="Times New Roman" w:cs="Times New Roman"/>
                <w:sz w:val="18"/>
                <w:szCs w:val="18"/>
                <w:lang w:eastAsia="zh-CN"/>
              </w:rPr>
            </w:pPr>
          </w:p>
          <w:p w14:paraId="580906E8" w14:textId="38394B8E" w:rsidR="00E276AE" w:rsidRDefault="00521B1A"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等线"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等线"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等线" w:hAnsi="Times New Roman" w:cs="Times New Roman"/>
                <w:sz w:val="18"/>
                <w:szCs w:val="18"/>
                <w:lang w:eastAsia="zh-CN"/>
              </w:rPr>
            </w:pPr>
          </w:p>
          <w:p w14:paraId="004BEDAF" w14:textId="77777777" w:rsidR="00F911B9" w:rsidRDefault="00F911B9"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3.5, support Alt1, which is more efficient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due to the use of </w:t>
            </w:r>
            <w:proofErr w:type="spellStart"/>
            <w:r>
              <w:rPr>
                <w:rFonts w:ascii="Times New Roman" w:eastAsia="等线"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等线"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B62F908"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77777777"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等线" w:hAnsi="Times New Roman" w:cs="Times New Roman"/>
                <w:sz w:val="18"/>
                <w:szCs w:val="18"/>
                <w:lang w:eastAsia="zh-CN"/>
              </w:rPr>
            </w:pPr>
          </w:p>
          <w:p w14:paraId="608B29F3" w14:textId="6A1DBF91" w:rsidR="00886D64" w:rsidRDefault="00886D64"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4.2, we think the same principle agreed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is also beneficial for </w:t>
            </w:r>
            <w:proofErr w:type="spellStart"/>
            <w:r>
              <w:rPr>
                <w:rFonts w:ascii="Times New Roman" w:eastAsia="等线"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等线"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088D5F0" w14:textId="77777777" w:rsidR="001A1C91" w:rsidRDefault="001A1C91" w:rsidP="00126AD4">
            <w:pPr>
              <w:snapToGrid w:val="0"/>
              <w:spacing w:after="0"/>
              <w:rPr>
                <w:rFonts w:ascii="Times New Roman" w:hAnsi="Times New Roman" w:cs="Times New Roman"/>
                <w:sz w:val="18"/>
                <w:szCs w:val="18"/>
              </w:rPr>
            </w:pP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126AD4">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4"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4"/>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F33195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1F7BD125"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55403B1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7C9D5A7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76EC123"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等线"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77777777" w:rsidR="0027739D" w:rsidRDefault="0027739D"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7003D32" w14:textId="77777777" w:rsidR="0027739D" w:rsidRDefault="0027739D"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lastRenderedPageBreak/>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MTRP without impacting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N</w:t>
            </w:r>
            <w:r w:rsidRPr="003D1608">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lastRenderedPageBreak/>
              <w:t>F</w:t>
            </w:r>
            <w:r w:rsidRPr="003D1608">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等线" w:hAnsi="Times New Roman" w:cs="Times New Roman"/>
                <w:sz w:val="14"/>
                <w:szCs w:val="14"/>
                <w:lang w:eastAsia="zh-CN"/>
              </w:rPr>
              <w:t>sTRP</w:t>
            </w:r>
            <w:proofErr w:type="spellEnd"/>
            <w:r w:rsidRPr="003D1608">
              <w:rPr>
                <w:rFonts w:ascii="Times New Roman" w:eastAsia="等线" w:hAnsi="Times New Roman" w:cs="Times New Roman"/>
                <w:sz w:val="14"/>
                <w:szCs w:val="14"/>
                <w:lang w:eastAsia="zh-CN"/>
              </w:rPr>
              <w:t>/</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We there are enough similarities between CJT and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NCJT PDSCH to justify incorporating CJT in the R18 </w:t>
            </w:r>
            <w:proofErr w:type="spellStart"/>
            <w:r w:rsidRPr="003D1608">
              <w:rPr>
                <w:rFonts w:ascii="Times New Roman" w:eastAsia="等线" w:hAnsi="Times New Roman" w:cs="Times New Roman"/>
                <w:sz w:val="14"/>
                <w:szCs w:val="14"/>
                <w:lang w:eastAsia="zh-CN"/>
              </w:rPr>
              <w:t>eUTI</w:t>
            </w:r>
            <w:proofErr w:type="spellEnd"/>
            <w:r w:rsidRPr="003D1608">
              <w:rPr>
                <w:rFonts w:ascii="Times New Roman" w:eastAsia="等线"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Excluding CJT, 2 sets of TCI states are sufficient to support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等线" w:hAnsi="Times New Roman" w:cs="Times New Roman"/>
                <w:sz w:val="14"/>
                <w:szCs w:val="14"/>
                <w:lang w:eastAsia="zh-CN"/>
              </w:rPr>
              <w:t>TRPs,  the</w:t>
            </w:r>
            <w:proofErr w:type="gramEnd"/>
            <w:r w:rsidRPr="003D1608">
              <w:rPr>
                <w:rFonts w:ascii="Times New Roman" w:eastAsia="等线"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We are fine </w:t>
            </w: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等线" w:hAnsi="Times New Roman" w:cs="Times New Roman"/>
                <w:sz w:val="14"/>
                <w:szCs w:val="14"/>
                <w:lang w:eastAsia="zh-CN"/>
              </w:rPr>
              <w:t>joint+joint</w:t>
            </w:r>
            <w:proofErr w:type="spellEnd"/>
            <w:r w:rsidRPr="003D1608">
              <w:rPr>
                <w:rFonts w:ascii="Times New Roman" w:eastAsia="等线"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等线" w:hAnsi="Times New Roman" w:cs="Times New Roman" w:hint="eastAsia"/>
                <w:sz w:val="14"/>
                <w:szCs w:val="14"/>
                <w:lang w:eastAsia="zh-CN"/>
              </w:rPr>
              <w:t>o</w:t>
            </w:r>
            <w:r w:rsidRPr="003D1608">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lastRenderedPageBreak/>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宋体" w:hAnsi="Times New Roman" w:cs="Times New Roman"/>
                <w:sz w:val="14"/>
                <w:szCs w:val="14"/>
                <w:lang w:eastAsia="zh-CN"/>
              </w:rPr>
              <w:t>gNB’s</w:t>
            </w:r>
            <w:proofErr w:type="spellEnd"/>
            <w:r w:rsidRPr="003D1608">
              <w:rPr>
                <w:rFonts w:ascii="Times New Roman" w:eastAsia="宋体"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But, no need of ‘TCI set’ concept even for discussion purpose.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(e.g., separate DL/UL mode where 2 TCI state per TRP) and up to 2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hint="eastAsia"/>
                <w:sz w:val="14"/>
                <w:szCs w:val="14"/>
                <w:lang w:eastAsia="zh-CN"/>
              </w:rPr>
              <w:t xml:space="preserve">We prefer to </w:t>
            </w:r>
            <w:r w:rsidRPr="003D1608">
              <w:rPr>
                <w:rFonts w:ascii="Times New Roman" w:eastAsia="等线" w:hAnsi="Times New Roman" w:cs="Times New Roman"/>
                <w:sz w:val="14"/>
                <w:szCs w:val="14"/>
                <w:lang w:eastAsia="zh-CN"/>
              </w:rPr>
              <w:t xml:space="preserve">focus on </w:t>
            </w:r>
            <w:r w:rsidRPr="003D1608">
              <w:rPr>
                <w:rFonts w:ascii="Times New Roman" w:eastAsia="等线" w:hAnsi="Times New Roman" w:cs="Times New Roman" w:hint="eastAsia"/>
                <w:sz w:val="14"/>
                <w:szCs w:val="14"/>
                <w:lang w:eastAsia="zh-CN"/>
              </w:rPr>
              <w:t xml:space="preserve">Rel-16/17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xml:space="preserve"> and </w:t>
            </w:r>
            <w:proofErr w:type="spellStart"/>
            <w:r w:rsidRPr="003D1608">
              <w:rPr>
                <w:rFonts w:ascii="Times New Roman" w:eastAsia="等线" w:hAnsi="Times New Roman" w:cs="Times New Roman" w:hint="eastAsia"/>
                <w:sz w:val="14"/>
                <w:szCs w:val="14"/>
                <w:lang w:eastAsia="zh-CN"/>
              </w:rPr>
              <w:t>STxMP</w:t>
            </w:r>
            <w:proofErr w:type="spellEnd"/>
            <w:r w:rsidRPr="003D1608">
              <w:rPr>
                <w:rFonts w:ascii="Times New Roman" w:eastAsia="等线" w:hAnsi="Times New Roman" w:cs="Times New Roman" w:hint="eastAsia"/>
                <w:sz w:val="14"/>
                <w:szCs w:val="14"/>
                <w:lang w:eastAsia="zh-CN"/>
              </w:rPr>
              <w:t xml:space="preserve"> in this agenda item. </w:t>
            </w:r>
            <w:r w:rsidRPr="003D1608">
              <w:rPr>
                <w:rFonts w:ascii="Times New Roman" w:eastAsia="等线" w:hAnsi="Times New Roman" w:cs="Times New Roman"/>
                <w:sz w:val="14"/>
                <w:szCs w:val="14"/>
                <w:lang w:eastAsia="zh-CN"/>
              </w:rPr>
              <w:t>I</w:t>
            </w:r>
            <w:r w:rsidRPr="003D1608">
              <w:rPr>
                <w:rFonts w:ascii="Times New Roman" w:eastAsia="等线" w:hAnsi="Times New Roman" w:cs="Times New Roman" w:hint="eastAsia"/>
                <w:sz w:val="14"/>
                <w:szCs w:val="14"/>
                <w:lang w:eastAsia="zh-CN"/>
              </w:rPr>
              <w:t xml:space="preserve">t seems that the </w:t>
            </w:r>
            <w:r w:rsidRPr="003D1608">
              <w:rPr>
                <w:rFonts w:ascii="Times New Roman" w:eastAsia="等线" w:hAnsi="Times New Roman" w:cs="Times New Roman"/>
                <w:sz w:val="14"/>
                <w:szCs w:val="14"/>
                <w:lang w:eastAsia="zh-CN"/>
              </w:rPr>
              <w:t>question</w:t>
            </w:r>
            <w:r w:rsidRPr="003D1608">
              <w:rPr>
                <w:rFonts w:ascii="Times New Roman" w:eastAsia="等线" w:hAnsi="Times New Roman" w:cs="Times New Roman" w:hint="eastAsia"/>
                <w:sz w:val="14"/>
                <w:szCs w:val="14"/>
                <w:lang w:eastAsia="zh-CN"/>
              </w:rPr>
              <w:t xml:space="preserve"> on whether 4 TCI states are needed is related to CJT only. </w:t>
            </w:r>
            <w:r w:rsidRPr="003D1608">
              <w:rPr>
                <w:rFonts w:ascii="Times New Roman" w:eastAsia="等线" w:hAnsi="Times New Roman" w:cs="Times New Roman"/>
                <w:sz w:val="14"/>
                <w:szCs w:val="14"/>
                <w:lang w:eastAsia="zh-CN"/>
              </w:rPr>
              <w:t>S</w:t>
            </w:r>
            <w:r w:rsidRPr="003D1608">
              <w:rPr>
                <w:rFonts w:ascii="Times New Roman" w:eastAsia="等线" w:hAnsi="Times New Roman" w:cs="Times New Roman" w:hint="eastAsia"/>
                <w:sz w:val="14"/>
                <w:szCs w:val="14"/>
                <w:lang w:eastAsia="zh-CN"/>
              </w:rPr>
              <w:t>o, as commented by FL for issue 1.2, we also think it</w:t>
            </w:r>
            <w:r w:rsidRPr="003D1608">
              <w:rPr>
                <w:rFonts w:ascii="Times New Roman" w:eastAsia="等线" w:hAnsi="Times New Roman" w:cs="Times New Roman"/>
                <w:sz w:val="14"/>
                <w:szCs w:val="14"/>
                <w:lang w:eastAsia="zh-CN"/>
              </w:rPr>
              <w:t>’</w:t>
            </w:r>
            <w:r w:rsidRPr="003D1608">
              <w:rPr>
                <w:rFonts w:ascii="Times New Roman" w:eastAsia="等线" w:hAnsi="Times New Roman" w:cs="Times New Roman" w:hint="eastAsia"/>
                <w:sz w:val="14"/>
                <w:szCs w:val="14"/>
                <w:lang w:eastAsia="zh-CN"/>
              </w:rPr>
              <w:t xml:space="preserve">s better </w:t>
            </w:r>
            <w:proofErr w:type="gramStart"/>
            <w:r w:rsidRPr="003D1608">
              <w:rPr>
                <w:rFonts w:ascii="Times New Roman" w:eastAsia="等线" w:hAnsi="Times New Roman" w:cs="Times New Roman" w:hint="eastAsia"/>
                <w:sz w:val="14"/>
                <w:szCs w:val="14"/>
                <w:lang w:eastAsia="zh-CN"/>
              </w:rPr>
              <w:t>to  discuss</w:t>
            </w:r>
            <w:proofErr w:type="gramEnd"/>
            <w:r w:rsidRPr="003D1608">
              <w:rPr>
                <w:rFonts w:ascii="Times New Roman" w:eastAsia="等线"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等线"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等线" w:hAnsi="Times New Roman" w:cs="Times New Roman" w:hint="eastAsia"/>
                <w:sz w:val="14"/>
                <w:szCs w:val="14"/>
                <w:lang w:eastAsia="zh-CN"/>
              </w:rPr>
              <w:t xml:space="preserve"> </w:t>
            </w:r>
            <w:r w:rsidRPr="003D1608">
              <w:rPr>
                <w:rFonts w:ascii="Times New Roman" w:eastAsia="等线" w:hAnsi="Times New Roman" w:cs="Times New Roman"/>
                <w:sz w:val="14"/>
                <w:szCs w:val="14"/>
                <w:lang w:eastAsia="zh-CN"/>
              </w:rPr>
              <w:t>A</w:t>
            </w:r>
            <w:r w:rsidRPr="003D1608">
              <w:rPr>
                <w:rFonts w:ascii="Times New Roman" w:eastAsia="等线" w:hAnsi="Times New Roman" w:cs="Times New Roman" w:hint="eastAsia"/>
                <w:sz w:val="14"/>
                <w:szCs w:val="14"/>
                <w:lang w:eastAsia="zh-CN"/>
              </w:rPr>
              <w:t xml:space="preserve">lternatively, the formulation used in the last meeting, i.e., </w:t>
            </w:r>
            <w:r w:rsidRPr="003D1608">
              <w:rPr>
                <w:rFonts w:ascii="Times New Roman" w:eastAsia="等线" w:hAnsi="Times New Roman" w:cs="Times New Roman"/>
                <w:sz w:val="14"/>
                <w:szCs w:val="14"/>
                <w:lang w:eastAsia="zh-CN"/>
              </w:rPr>
              <w:t>combination of joint and or separate DL/UL TCI states</w:t>
            </w:r>
            <w:r w:rsidRPr="003D1608">
              <w:rPr>
                <w:rFonts w:ascii="Times New Roman" w:eastAsia="等线" w:hAnsi="Times New Roman" w:cs="Times New Roman" w:hint="eastAsia"/>
                <w:sz w:val="14"/>
                <w:szCs w:val="14"/>
                <w:lang w:eastAsia="zh-CN"/>
              </w:rPr>
              <w:t>,</w:t>
            </w:r>
            <w:r w:rsidRPr="003D1608">
              <w:rPr>
                <w:rFonts w:ascii="Times New Roman" w:eastAsia="等线" w:hAnsi="Times New Roman" w:cs="Times New Roman"/>
                <w:sz w:val="14"/>
                <w:szCs w:val="14"/>
                <w:lang w:eastAsia="zh-CN"/>
              </w:rPr>
              <w:t xml:space="preserve"> is </w:t>
            </w:r>
            <w:r w:rsidRPr="003D1608">
              <w:rPr>
                <w:rFonts w:ascii="Times New Roman" w:eastAsia="等线"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等线"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等线"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等线" w:hAnsi="Times New Roman" w:cs="Times New Roman" w:hint="eastAsia"/>
                <w:sz w:val="14"/>
                <w:szCs w:val="14"/>
                <w:lang w:eastAsia="zh-CN"/>
              </w:rPr>
              <w:t xml:space="preserve">. For </w:t>
            </w:r>
            <w:proofErr w:type="spellStart"/>
            <w:r w:rsidRPr="003D1608">
              <w:rPr>
                <w:rFonts w:ascii="Times New Roman" w:eastAsia="等线" w:hAnsi="Times New Roman" w:cs="Times New Roman" w:hint="eastAsia"/>
                <w:sz w:val="14"/>
                <w:szCs w:val="14"/>
                <w:lang w:eastAsia="zh-CN"/>
              </w:rPr>
              <w:t>sTRP</w:t>
            </w:r>
            <w:proofErr w:type="spellEnd"/>
            <w:r w:rsidRPr="003D1608">
              <w:rPr>
                <w:rFonts w:ascii="Times New Roman" w:eastAsia="等线" w:hAnsi="Times New Roman" w:cs="Times New Roman" w:hint="eastAsia"/>
                <w:sz w:val="14"/>
                <w:szCs w:val="14"/>
                <w:lang w:eastAsia="zh-CN"/>
              </w:rPr>
              <w:t xml:space="preserve">, only one TCI set is applied. For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等线"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等线"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t>
            </w:r>
            <w:r w:rsidRPr="003D1608">
              <w:rPr>
                <w:rFonts w:ascii="Times New Roman" w:eastAsia="等线" w:hAnsi="Times New Roman" w:cs="Times New Roman" w:hint="eastAsia"/>
                <w:sz w:val="14"/>
                <w:szCs w:val="14"/>
                <w:lang w:eastAsia="zh-CN"/>
              </w:rPr>
              <w:t>negative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about</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the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issue,</w:t>
            </w:r>
            <w:r w:rsidRPr="003D1608">
              <w:rPr>
                <w:rFonts w:ascii="Times New Roman" w:eastAsia="等线"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 For CJT, whether every PDSCH DMRS port should have the same set of </w:t>
            </w:r>
            <w:proofErr w:type="gramStart"/>
            <w:r w:rsidRPr="003D1608">
              <w:rPr>
                <w:rFonts w:ascii="Times New Roman" w:eastAsia="等线" w:hAnsi="Times New Roman" w:cs="Times New Roman"/>
                <w:sz w:val="14"/>
                <w:szCs w:val="14"/>
                <w:lang w:eastAsia="zh-CN"/>
              </w:rPr>
              <w:t>TCI</w:t>
            </w:r>
            <w:proofErr w:type="gramEnd"/>
            <w:r w:rsidRPr="003D1608">
              <w:rPr>
                <w:rFonts w:ascii="Times New Roman" w:eastAsia="等线"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sidRPr="003D1608">
              <w:rPr>
                <w:rFonts w:ascii="Times New Roman" w:eastAsia="等线" w:hAnsi="Times New Roman" w:cs="Times New Roman"/>
                <w:sz w:val="14"/>
                <w:szCs w:val="14"/>
                <w:lang w:eastAsia="zh-CN"/>
              </w:rPr>
              <w:t>So</w:t>
            </w:r>
            <w:proofErr w:type="gramEnd"/>
            <w:r w:rsidRPr="003D1608">
              <w:rPr>
                <w:rFonts w:ascii="Times New Roman" w:eastAsia="等线"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lastRenderedPageBreak/>
              <w:t xml:space="preserve">If same set of </w:t>
            </w:r>
            <w:proofErr w:type="gramStart"/>
            <w:r w:rsidRPr="003D1608">
              <w:rPr>
                <w:rFonts w:ascii="Times New Roman" w:eastAsia="等线" w:hAnsi="Times New Roman" w:cs="Times New Roman"/>
                <w:sz w:val="14"/>
                <w:szCs w:val="14"/>
                <w:lang w:eastAsia="zh-CN"/>
              </w:rPr>
              <w:t>TCI</w:t>
            </w:r>
            <w:proofErr w:type="gramEnd"/>
            <w:r w:rsidRPr="003D1608">
              <w:rPr>
                <w:rFonts w:ascii="Times New Roman" w:eastAsia="等线"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等线" w:hAnsi="Times New Roman" w:cs="Times New Roman"/>
                <w:sz w:val="14"/>
                <w:szCs w:val="14"/>
                <w:lang w:val="en-GB" w:eastAsia="zh-CN"/>
              </w:rPr>
            </w:pPr>
            <w:r w:rsidRPr="003D1608">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val="en-GB" w:eastAsia="zh-CN"/>
              </w:rPr>
              <w:t xml:space="preserve">For 1.4, </w:t>
            </w:r>
            <w:r w:rsidRPr="003D1608">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val="en-GB" w:eastAsia="en-US"/>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等线" w:hAnsi="Times New Roman" w:cs="Times New Roman" w:hint="eastAsia"/>
                <w:color w:val="0000FF"/>
                <w:sz w:val="14"/>
                <w:szCs w:val="14"/>
                <w:lang w:val="en-GB" w:eastAsia="zh-CN"/>
              </w:rPr>
              <w:lastRenderedPageBreak/>
              <w:t>Mo</w:t>
            </w:r>
            <w:r w:rsidRPr="003D1608">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等线"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lastRenderedPageBreak/>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D222A9"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D222A9"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D222A9"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D222A9"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D222A9"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D222A9"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D222A9"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D222A9"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D222A9"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D222A9"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D222A9"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D222A9"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D222A9"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D222A9"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D222A9"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D222A9"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D222A9"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D222A9"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D222A9"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D222A9"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D222A9"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D222A9"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D222A9"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D222A9"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D222A9"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D222A9"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D222A9"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D222A9"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D222A9"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D222A9"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D222A9"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D222A9"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183C" w14:textId="77777777" w:rsidR="00D222A9" w:rsidRDefault="00D222A9" w:rsidP="005E7B61">
      <w:pPr>
        <w:spacing w:after="0" w:line="240" w:lineRule="auto"/>
      </w:pPr>
      <w:r>
        <w:separator/>
      </w:r>
    </w:p>
  </w:endnote>
  <w:endnote w:type="continuationSeparator" w:id="0">
    <w:p w14:paraId="6443BB9A" w14:textId="77777777" w:rsidR="00D222A9" w:rsidRDefault="00D222A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EDAB" w14:textId="77777777" w:rsidR="00D222A9" w:rsidRDefault="00D222A9" w:rsidP="005E7B61">
      <w:pPr>
        <w:spacing w:after="0" w:line="240" w:lineRule="auto"/>
      </w:pPr>
      <w:r>
        <w:separator/>
      </w:r>
    </w:p>
  </w:footnote>
  <w:footnote w:type="continuationSeparator" w:id="0">
    <w:p w14:paraId="51145BD0" w14:textId="77777777" w:rsidR="00D222A9" w:rsidRDefault="00D222A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1"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5"/>
  </w:num>
  <w:num w:numId="4">
    <w:abstractNumId w:val="17"/>
  </w:num>
  <w:num w:numId="5">
    <w:abstractNumId w:val="29"/>
  </w:num>
  <w:num w:numId="6">
    <w:abstractNumId w:val="7"/>
  </w:num>
  <w:num w:numId="7">
    <w:abstractNumId w:val="36"/>
  </w:num>
  <w:num w:numId="8">
    <w:abstractNumId w:val="34"/>
  </w:num>
  <w:num w:numId="9">
    <w:abstractNumId w:val="2"/>
  </w:num>
  <w:num w:numId="10">
    <w:abstractNumId w:val="18"/>
  </w:num>
  <w:num w:numId="11">
    <w:abstractNumId w:val="33"/>
  </w:num>
  <w:num w:numId="12">
    <w:abstractNumId w:val="24"/>
  </w:num>
  <w:num w:numId="13">
    <w:abstractNumId w:val="9"/>
  </w:num>
  <w:num w:numId="14">
    <w:abstractNumId w:val="22"/>
  </w:num>
  <w:num w:numId="15">
    <w:abstractNumId w:val="19"/>
  </w:num>
  <w:num w:numId="16">
    <w:abstractNumId w:val="20"/>
  </w:num>
  <w:num w:numId="17">
    <w:abstractNumId w:val="35"/>
  </w:num>
  <w:num w:numId="18">
    <w:abstractNumId w:val="12"/>
  </w:num>
  <w:num w:numId="19">
    <w:abstractNumId w:val="16"/>
  </w:num>
  <w:num w:numId="20">
    <w:abstractNumId w:val="26"/>
  </w:num>
  <w:num w:numId="21">
    <w:abstractNumId w:val="11"/>
  </w:num>
  <w:num w:numId="22">
    <w:abstractNumId w:val="4"/>
  </w:num>
  <w:num w:numId="23">
    <w:abstractNumId w:val="8"/>
  </w:num>
  <w:num w:numId="24">
    <w:abstractNumId w:val="30"/>
  </w:num>
  <w:num w:numId="25">
    <w:abstractNumId w:val="5"/>
  </w:num>
  <w:num w:numId="26">
    <w:abstractNumId w:val="27"/>
  </w:num>
  <w:num w:numId="27">
    <w:abstractNumId w:val="32"/>
  </w:num>
  <w:num w:numId="28">
    <w:abstractNumId w:val="0"/>
  </w:num>
  <w:num w:numId="29">
    <w:abstractNumId w:val="13"/>
  </w:num>
  <w:num w:numId="30">
    <w:abstractNumId w:val="25"/>
  </w:num>
  <w:num w:numId="31">
    <w:abstractNumId w:val="3"/>
  </w:num>
  <w:num w:numId="32">
    <w:abstractNumId w:val="21"/>
  </w:num>
  <w:num w:numId="33">
    <w:abstractNumId w:val="1"/>
  </w:num>
  <w:num w:numId="34">
    <w:abstractNumId w:val="23"/>
  </w:num>
  <w:num w:numId="35">
    <w:abstractNumId w:val="14"/>
  </w:num>
  <w:num w:numId="36">
    <w:abstractNumId w:val="40"/>
  </w:num>
  <w:num w:numId="37">
    <w:abstractNumId w:val="38"/>
  </w:num>
  <w:num w:numId="38">
    <w:abstractNumId w:val="39"/>
  </w:num>
  <w:num w:numId="39">
    <w:abstractNumId w:val="37"/>
  </w:num>
  <w:num w:numId="40">
    <w:abstractNumId w:val="31"/>
  </w:num>
  <w:num w:numId="4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A56"/>
    <w:rsid w:val="001F1D11"/>
    <w:rsid w:val="001F222B"/>
    <w:rsid w:val="001F23D5"/>
    <w:rsid w:val="001F30C4"/>
    <w:rsid w:val="001F3B77"/>
    <w:rsid w:val="001F3D02"/>
    <w:rsid w:val="001F4322"/>
    <w:rsid w:val="001F4A66"/>
    <w:rsid w:val="001F4B96"/>
    <w:rsid w:val="001F4E10"/>
    <w:rsid w:val="001F53EC"/>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665"/>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08E5"/>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1FB6"/>
    <w:rsid w:val="004C2276"/>
    <w:rsid w:val="004C22EA"/>
    <w:rsid w:val="004C232B"/>
    <w:rsid w:val="004C249D"/>
    <w:rsid w:val="004C260E"/>
    <w:rsid w:val="004C2FBB"/>
    <w:rsid w:val="004C3099"/>
    <w:rsid w:val="004C39BF"/>
    <w:rsid w:val="004C3C29"/>
    <w:rsid w:val="004C3F24"/>
    <w:rsid w:val="004C4AF4"/>
    <w:rsid w:val="004C4EB2"/>
    <w:rsid w:val="004C50F9"/>
    <w:rsid w:val="004C7048"/>
    <w:rsid w:val="004C7094"/>
    <w:rsid w:val="004C77EC"/>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3E59"/>
    <w:rsid w:val="005F4347"/>
    <w:rsid w:val="005F5FFB"/>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40E"/>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AEB"/>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453"/>
    <w:rsid w:val="00B63CB7"/>
    <w:rsid w:val="00B64953"/>
    <w:rsid w:val="00B64B88"/>
    <w:rsid w:val="00B653B9"/>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013661A0-7289-4E48-903E-6D392FDF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16</Pages>
  <Words>10497</Words>
  <Characters>59838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曹建飞(Jeffrey Cao)</cp:lastModifiedBy>
  <cp:revision>5</cp:revision>
  <dcterms:created xsi:type="dcterms:W3CDTF">2022-08-17T00:20:00Z</dcterms:created>
  <dcterms:modified xsi:type="dcterms:W3CDTF">2022-08-17T03:19:00Z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