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815" w14:textId="60391C69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6A634B4D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[1</w:t>
      </w:r>
      <w:r w:rsidR="00194BA0" w:rsidRPr="005C5FE5">
        <w:rPr>
          <w:lang w:val="en-US"/>
        </w:rPr>
        <w:t>, 2</w:t>
      </w:r>
      <w:r w:rsidRPr="005C5FE5">
        <w:rPr>
          <w:lang w:val="en-US"/>
        </w:rPr>
        <w:t>]. Earlier RAN1 agreements for this WI are summarized in [</w:t>
      </w:r>
      <w:r w:rsidR="00194BA0" w:rsidRPr="005C5FE5">
        <w:rPr>
          <w:lang w:val="en-US"/>
        </w:rPr>
        <w:t>3</w:t>
      </w:r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[4, 5</w:t>
      </w:r>
      <w:r w:rsidR="00711F0A">
        <w:rPr>
          <w:lang w:val="en-US"/>
        </w:rPr>
        <w:t>, 6, 7, 8</w:t>
      </w:r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6E7233D7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doc number of the moderator summary for online session, etc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2D39BA81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section numbering in this document follows the draft TR </w:t>
      </w:r>
      <w:r w:rsidR="00CF50B5" w:rsidRPr="005C5FE5">
        <w:rPr>
          <w:lang w:val="en-US"/>
        </w:rPr>
        <w:t>structure</w:t>
      </w:r>
      <w:r w:rsidRPr="005C5FE5">
        <w:rPr>
          <w:lang w:val="en-US"/>
        </w:rPr>
        <w:t xml:space="preserve"> in [</w:t>
      </w:r>
      <w:r w:rsidR="00CF50B5" w:rsidRPr="005C5FE5">
        <w:rPr>
          <w:lang w:val="en-US"/>
        </w:rPr>
        <w:t>4</w:t>
      </w:r>
      <w:r w:rsidRPr="005C5FE5">
        <w:rPr>
          <w:lang w:val="en-US"/>
        </w:rPr>
        <w:t xml:space="preserve">]. 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12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1E625B86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96AB9AF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2E8F4585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127DB682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RAN1#109e discussed several text proposals (TPs) for 38.213 clause 17.1 that intended to better capture earlier RAN1 agreements. Contributions [9, 17, 18, 24] propose to adopt similar changes as TP#10 in the RAN1#109e FLS [5]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AF4FA7">
        <w:tc>
          <w:tcPr>
            <w:tcW w:w="9630" w:type="dxa"/>
          </w:tcPr>
          <w:p w14:paraId="1D5A12C2" w14:textId="77777777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AF4FA7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SimSun"/>
                <w:lang w:eastAsia="zh-CN"/>
              </w:rPr>
              <w:t xml:space="preserve">For an initial DL BWP provided by </w:t>
            </w:r>
            <w:r w:rsidRPr="00F86614">
              <w:rPr>
                <w:rFonts w:eastAsia="MS Mincho"/>
                <w:i/>
              </w:rPr>
              <w:t>initialDownlinkBWP</w:t>
            </w:r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SimSun"/>
                <w:lang w:val="en-US"/>
              </w:rPr>
              <w:t xml:space="preserve">includes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SimSun"/>
                <w:lang w:val="en-US"/>
              </w:rPr>
              <w:t xml:space="preserve">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u w:val="single"/>
                <w:lang w:val="en-US"/>
              </w:rPr>
              <w:t xml:space="preserve">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lang w:val="en-US"/>
              </w:rPr>
              <w:t>the CORESET with index 0</w:t>
            </w:r>
            <w:r w:rsidRPr="00F86614">
              <w:rPr>
                <w:rFonts w:eastAsia="SimSun"/>
                <w:color w:val="7030A0"/>
                <w:lang w:val="en-US"/>
              </w:rPr>
              <w:t>.</w:t>
            </w:r>
            <w:r w:rsidRPr="00F86614">
              <w:rPr>
                <w:rFonts w:eastAsia="SimSun"/>
              </w:rPr>
              <w:t xml:space="preserve"> </w:t>
            </w:r>
            <w:r w:rsidRPr="00F86614"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AF4FA7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 w:rsidRPr="00F86614">
              <w:rPr>
                <w:rFonts w:eastAsia="SimSun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SimSun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SimSun"/>
                <w:strike/>
                <w:color w:val="FF0000"/>
              </w:rPr>
              <w:t xml:space="preserve">does not include </w:t>
            </w:r>
            <w:r w:rsidRPr="00F86614"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AF4FA7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BWP-DownlinkDedicated</w:t>
            </w:r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AF4FA7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SimSun"/>
                <w:i/>
                <w:color w:val="FF0000"/>
                <w:u w:val="single"/>
              </w:rPr>
              <w:t>BWP-DownlinkDedicated</w:t>
            </w:r>
            <w:r w:rsidRPr="00F86614"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SimSun"/>
                <w:color w:val="FF0000"/>
                <w:u w:val="single"/>
              </w:rPr>
              <w:t>,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SimSun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AF4FA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AF4FA7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SimSun"/>
                <w:i/>
                <w:iCs/>
                <w:color w:val="FF0000"/>
                <w:u w:val="single"/>
              </w:rPr>
              <w:t>BWP-DownlinkDedicated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2E410A45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r>
        <w:rPr>
          <w:rFonts w:cs="Arial"/>
          <w:szCs w:val="22"/>
        </w:rPr>
        <w:t xml:space="preserve">9, 10, 11, 14, 17, 18, </w:t>
      </w:r>
      <w:r>
        <w:rPr>
          <w:rFonts w:eastAsia="Yu Mincho"/>
          <w:lang w:val="en-US" w:eastAsia="ja-JP"/>
        </w:rPr>
        <w:t xml:space="preserve">30, </w:t>
      </w:r>
      <w:r>
        <w:rPr>
          <w:rFonts w:cs="Arial"/>
          <w:szCs w:val="22"/>
        </w:rPr>
        <w:t>32 (section 2.2), 35, 36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[11]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>” in 38.213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4E3773">
        <w:tc>
          <w:tcPr>
            <w:tcW w:w="1479" w:type="dxa"/>
          </w:tcPr>
          <w:p w14:paraId="1FD38CB9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1CA6037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BD9CAA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720101D5" w14:textId="77777777" w:rsidTr="004E3773">
        <w:tc>
          <w:tcPr>
            <w:tcW w:w="1479" w:type="dxa"/>
          </w:tcPr>
          <w:p w14:paraId="5FC0BEA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603870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61D3A5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4E3773">
        <w:tc>
          <w:tcPr>
            <w:tcW w:w="1479" w:type="dxa"/>
          </w:tcPr>
          <w:p w14:paraId="2BB04CFD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865C4E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8FE05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1750BBCB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38.213 clause 17.1 that intended to capture earlier RAN1 agreements. Contributions [16 (issue 1), 17, 18]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[5]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AF4FA7">
        <w:tc>
          <w:tcPr>
            <w:tcW w:w="9629" w:type="dxa"/>
          </w:tcPr>
          <w:p w14:paraId="3791B131" w14:textId="5D153704" w:rsidR="00330AA6" w:rsidRPr="00894437" w:rsidRDefault="00330AA6" w:rsidP="00AF4FA7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4E3773">
        <w:tc>
          <w:tcPr>
            <w:tcW w:w="1479" w:type="dxa"/>
          </w:tcPr>
          <w:p w14:paraId="62B5CD81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399BF87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C558CE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45ADAA25" w14:textId="77777777" w:rsidTr="004E3773">
        <w:tc>
          <w:tcPr>
            <w:tcW w:w="1479" w:type="dxa"/>
          </w:tcPr>
          <w:p w14:paraId="6559C2A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8E0BD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69ECC9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C912C9D" w14:textId="77777777" w:rsidTr="004E3773">
        <w:tc>
          <w:tcPr>
            <w:tcW w:w="1479" w:type="dxa"/>
          </w:tcPr>
          <w:p w14:paraId="3265201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8CD33E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190D6E6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64548858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r>
        <w:rPr>
          <w:rFonts w:cs="Arial"/>
          <w:szCs w:val="22"/>
        </w:rPr>
        <w:t>16 (issue 5), 45</w:t>
      </w:r>
      <w:r>
        <w:rPr>
          <w:rFonts w:eastAsia="Yu Mincho"/>
          <w:lang w:val="en-US" w:eastAsia="ja-JP"/>
        </w:rPr>
        <w:t>] propose some clarifications related to the maximum bandwidth in 38.213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4E3773">
        <w:tc>
          <w:tcPr>
            <w:tcW w:w="1479" w:type="dxa"/>
          </w:tcPr>
          <w:p w14:paraId="705CEAD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AAB87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7460AA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16C430FA" w14:textId="77777777" w:rsidTr="004E3773">
        <w:tc>
          <w:tcPr>
            <w:tcW w:w="1479" w:type="dxa"/>
          </w:tcPr>
          <w:p w14:paraId="4D71167E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678BBCA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C8E9F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577D21" w14:textId="77777777" w:rsidTr="004E3773">
        <w:tc>
          <w:tcPr>
            <w:tcW w:w="1479" w:type="dxa"/>
          </w:tcPr>
          <w:p w14:paraId="7F97998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A6892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BAABA4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77777777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[31, 44] propose to clarify the common PUCCH resource set index determination in 38.213 clause 17.1 and to send an LS to ask RAN2 to clarify in 38.331 that RedCap-specific common PUCCH resource is always provided for a RedCap-specific initial UL BWP.</w:t>
      </w:r>
    </w:p>
    <w:p w14:paraId="3E4FA7CE" w14:textId="77777777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[36 (section 4), 41] propose a correction of the PUCCH PRB offset parameter name in 38.213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4E3773">
        <w:tc>
          <w:tcPr>
            <w:tcW w:w="1479" w:type="dxa"/>
          </w:tcPr>
          <w:p w14:paraId="229FC762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6B0C680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6BC1CC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D57DA6C" w14:textId="77777777" w:rsidTr="004E3773">
        <w:tc>
          <w:tcPr>
            <w:tcW w:w="1479" w:type="dxa"/>
          </w:tcPr>
          <w:p w14:paraId="7D4A6417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EEBB52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950118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0C0147F4" w14:textId="77777777" w:rsidTr="004E3773">
        <w:tc>
          <w:tcPr>
            <w:tcW w:w="1479" w:type="dxa"/>
          </w:tcPr>
          <w:p w14:paraId="0E633FDF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096114D" w14:textId="77777777" w:rsidR="00B41A26" w:rsidRPr="005C5FE5" w:rsidRDefault="00B41A26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226ECB" w14:textId="77777777" w:rsidR="00B41A26" w:rsidRPr="005C5FE5" w:rsidRDefault="00B41A26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51BC2B70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 xml:space="preserve">Contributions [21, 22, </w:t>
      </w:r>
      <w:r w:rsidR="00E41AD2">
        <w:rPr>
          <w:lang w:val="en-US"/>
        </w:rPr>
        <w:t xml:space="preserve">32 (section 2.3), </w:t>
      </w:r>
      <w:r>
        <w:rPr>
          <w:lang w:val="en-US" w:eastAsia="ja-JP"/>
        </w:rPr>
        <w:t xml:space="preserve">34, 40]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>subclauses to 38.214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[39] proposes to clarify this in 38.213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526BFB">
        <w:tc>
          <w:tcPr>
            <w:tcW w:w="1479" w:type="dxa"/>
          </w:tcPr>
          <w:p w14:paraId="301051F9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D25811D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2D73690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572C0FAF" w14:textId="77777777" w:rsidTr="00526BFB">
        <w:tc>
          <w:tcPr>
            <w:tcW w:w="1479" w:type="dxa"/>
          </w:tcPr>
          <w:p w14:paraId="198993CF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F8364E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66265EC9" w14:textId="77777777" w:rsidTr="00526BFB">
        <w:tc>
          <w:tcPr>
            <w:tcW w:w="1479" w:type="dxa"/>
          </w:tcPr>
          <w:p w14:paraId="50629F37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82D75F" w14:textId="77777777" w:rsidR="00F856EF" w:rsidRPr="005C5FE5" w:rsidRDefault="00F856EF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08D41EA" w14:textId="77777777" w:rsidR="00F856EF" w:rsidRPr="005C5FE5" w:rsidRDefault="00F856EF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7E581454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r w:rsidR="00116AF7">
        <w:rPr>
          <w:lang w:val="en-US" w:eastAsia="ja-JP"/>
        </w:rPr>
        <w:t xml:space="preserve">16 (issue 2), </w:t>
      </w:r>
      <w:r>
        <w:rPr>
          <w:lang w:val="en-US" w:eastAsia="ja-JP"/>
        </w:rPr>
        <w:t>25, 40] propose to clarify PDSCH resource mapping around NCD-SSB in 38.214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526BFB">
        <w:tc>
          <w:tcPr>
            <w:tcW w:w="1479" w:type="dxa"/>
          </w:tcPr>
          <w:p w14:paraId="3B1BC232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F5B934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7CECCD8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116C511D" w14:textId="77777777" w:rsidTr="00526BFB">
        <w:tc>
          <w:tcPr>
            <w:tcW w:w="1479" w:type="dxa"/>
          </w:tcPr>
          <w:p w14:paraId="40326A81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92CB173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079C4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50625B92" w14:textId="77777777" w:rsidTr="00526BFB">
        <w:tc>
          <w:tcPr>
            <w:tcW w:w="1479" w:type="dxa"/>
          </w:tcPr>
          <w:p w14:paraId="03707139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B44737" w14:textId="77777777" w:rsidR="00B43CBC" w:rsidRPr="005C5FE5" w:rsidRDefault="00B43CBC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1CC29A" w14:textId="77777777" w:rsidR="00B43CBC" w:rsidRPr="005C5FE5" w:rsidRDefault="00B43CBC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2AC0568A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r w:rsidR="00105E66">
        <w:rPr>
          <w:lang w:val="en-US" w:eastAsia="ja-JP"/>
        </w:rPr>
        <w:t xml:space="preserve">16 (issue 4), </w:t>
      </w:r>
      <w:r>
        <w:rPr>
          <w:lang w:val="en-US" w:eastAsia="ja-JP"/>
        </w:rPr>
        <w:t>20, 22</w:t>
      </w:r>
      <w:r w:rsidR="00687230">
        <w:rPr>
          <w:lang w:val="en-US" w:eastAsia="ja-JP"/>
        </w:rPr>
        <w:t>, 26</w:t>
      </w:r>
      <w:r w:rsidR="00581921">
        <w:rPr>
          <w:lang w:val="en-US" w:eastAsia="ja-JP"/>
        </w:rPr>
        <w:t xml:space="preserve">, </w:t>
      </w:r>
      <w:r w:rsidR="00F266A4">
        <w:rPr>
          <w:lang w:val="en-US"/>
        </w:rPr>
        <w:t xml:space="preserve">32 (section 2.3), </w:t>
      </w:r>
      <w:r w:rsidR="00581921">
        <w:rPr>
          <w:lang w:val="en-US" w:eastAsia="ja-JP"/>
        </w:rPr>
        <w:t>33</w:t>
      </w:r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38.213.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583C0D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583C0D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8D0A4F" w:rsidRPr="005C5FE5" w14:paraId="4573155C" w14:textId="77777777" w:rsidTr="00583C0D">
        <w:tc>
          <w:tcPr>
            <w:tcW w:w="1479" w:type="dxa"/>
          </w:tcPr>
          <w:p w14:paraId="4326D4B7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3BB40A7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AC2E26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0A4F" w:rsidRPr="005C5FE5" w14:paraId="2318F2A2" w14:textId="77777777" w:rsidTr="00583C0D">
        <w:tc>
          <w:tcPr>
            <w:tcW w:w="1479" w:type="dxa"/>
          </w:tcPr>
          <w:p w14:paraId="6B07550B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3568A0C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9FABC5B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0A4F" w:rsidRPr="005C5FE5" w14:paraId="4C197501" w14:textId="77777777" w:rsidTr="00583C0D">
        <w:tc>
          <w:tcPr>
            <w:tcW w:w="1479" w:type="dxa"/>
          </w:tcPr>
          <w:p w14:paraId="0F210932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16A7C90" w14:textId="77777777" w:rsidR="008D0A4F" w:rsidRPr="005C5FE5" w:rsidRDefault="008D0A4F" w:rsidP="00583C0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D395908" w14:textId="77777777" w:rsidR="008D0A4F" w:rsidRPr="005C5FE5" w:rsidRDefault="008D0A4F" w:rsidP="00583C0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77777777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r>
        <w:rPr>
          <w:lang w:val="en-US"/>
        </w:rPr>
        <w:t>27</w:t>
      </w:r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38.212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526BFB">
        <w:tc>
          <w:tcPr>
            <w:tcW w:w="1479" w:type="dxa"/>
          </w:tcPr>
          <w:p w14:paraId="38730033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DB65B7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D9F85F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7719CCAE" w14:textId="77777777" w:rsidTr="00526BFB">
        <w:tc>
          <w:tcPr>
            <w:tcW w:w="1479" w:type="dxa"/>
          </w:tcPr>
          <w:p w14:paraId="0D9710BB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769830A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5D4FDD0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4D10CDBD" w14:textId="77777777" w:rsidTr="00526BFB">
        <w:tc>
          <w:tcPr>
            <w:tcW w:w="1479" w:type="dxa"/>
          </w:tcPr>
          <w:p w14:paraId="33CE314A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45A3F3" w14:textId="77777777" w:rsidR="00A9217B" w:rsidRPr="005C5FE5" w:rsidRDefault="00A9217B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F605D" w14:textId="77777777" w:rsidR="00A9217B" w:rsidRPr="005C5FE5" w:rsidRDefault="00A9217B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82ED52F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 xml:space="preserve">Contributions [42, 43] propose to make the text about the Msg1/MsgA retransmission timeline in 38.213 clauses 8.2 and 8.2A applicable to non-RedCap UEs only, whereas contribution [36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>)] proposes to add corresponding text in 38.213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526BFB">
        <w:tc>
          <w:tcPr>
            <w:tcW w:w="1479" w:type="dxa"/>
          </w:tcPr>
          <w:p w14:paraId="58D0FB51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446261E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3148FA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409F5E6C" w14:textId="77777777" w:rsidTr="00526BFB">
        <w:tc>
          <w:tcPr>
            <w:tcW w:w="1479" w:type="dxa"/>
          </w:tcPr>
          <w:p w14:paraId="3BBB8860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6BB1D4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91DB85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3A6D2926" w14:textId="77777777" w:rsidTr="00526BFB">
        <w:tc>
          <w:tcPr>
            <w:tcW w:w="1479" w:type="dxa"/>
          </w:tcPr>
          <w:p w14:paraId="3CF63EA9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CEA2AD" w14:textId="77777777" w:rsidR="0099724D" w:rsidRPr="005C5FE5" w:rsidRDefault="0099724D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43930E" w14:textId="77777777" w:rsidR="0099724D" w:rsidRPr="005C5FE5" w:rsidRDefault="0099724D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1BE77919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[13 (section 3), 16 (issue 3), 19, 28, 29, 37, 38]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38.214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526BFB">
        <w:tc>
          <w:tcPr>
            <w:tcW w:w="1479" w:type="dxa"/>
          </w:tcPr>
          <w:p w14:paraId="401977DC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C17FEE7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F9A9E70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17DADAB7" w14:textId="77777777" w:rsidTr="00526BFB">
        <w:tc>
          <w:tcPr>
            <w:tcW w:w="1479" w:type="dxa"/>
          </w:tcPr>
          <w:p w14:paraId="4330DDE6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4BD8BA2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A29FD7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526BFB">
        <w:tc>
          <w:tcPr>
            <w:tcW w:w="1479" w:type="dxa"/>
          </w:tcPr>
          <w:p w14:paraId="42056FA1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5984276" w14:textId="77777777" w:rsidR="00367E80" w:rsidRPr="005C5FE5" w:rsidRDefault="00367E80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93F1" w14:textId="77777777" w:rsidR="00367E80" w:rsidRPr="005C5FE5" w:rsidRDefault="00367E80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72DF0559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 [13 (section 2]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38.213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16894" w:rsidRPr="005C5FE5" w14:paraId="5271B2C0" w14:textId="77777777" w:rsidTr="00526BFB">
        <w:tc>
          <w:tcPr>
            <w:tcW w:w="1479" w:type="dxa"/>
          </w:tcPr>
          <w:p w14:paraId="174A374A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537C908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2805C2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7664D5CC" w14:textId="77777777" w:rsidTr="00526BFB">
        <w:tc>
          <w:tcPr>
            <w:tcW w:w="1479" w:type="dxa"/>
          </w:tcPr>
          <w:p w14:paraId="6EE35054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18DABE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080997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629404C3" w14:textId="77777777" w:rsidTr="00526BFB">
        <w:tc>
          <w:tcPr>
            <w:tcW w:w="1479" w:type="dxa"/>
          </w:tcPr>
          <w:p w14:paraId="156ADB30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677F7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9155C5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5574174A" w:rsidR="00367E80" w:rsidRDefault="00367E80" w:rsidP="00E758D6">
      <w:pPr>
        <w:rPr>
          <w:lang w:val="en-US"/>
        </w:rPr>
      </w:pPr>
      <w:r>
        <w:rPr>
          <w:lang w:val="en-US"/>
        </w:rPr>
        <w:t>Contribution [23]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38.213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526BFB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526BFB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16894" w:rsidRPr="005C5FE5" w14:paraId="6E261643" w14:textId="77777777" w:rsidTr="00526BFB">
        <w:tc>
          <w:tcPr>
            <w:tcW w:w="1479" w:type="dxa"/>
          </w:tcPr>
          <w:p w14:paraId="58450EE9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59DBD4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E535664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188C74EB" w14:textId="77777777" w:rsidTr="00526BFB">
        <w:tc>
          <w:tcPr>
            <w:tcW w:w="1479" w:type="dxa"/>
          </w:tcPr>
          <w:p w14:paraId="463103AC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66B6B9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CBDDC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16894" w:rsidRPr="005C5FE5" w14:paraId="2D475E1E" w14:textId="77777777" w:rsidTr="00526BFB">
        <w:tc>
          <w:tcPr>
            <w:tcW w:w="1479" w:type="dxa"/>
          </w:tcPr>
          <w:p w14:paraId="5F6E2699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FCBA383" w14:textId="77777777" w:rsidR="00916894" w:rsidRPr="005C5FE5" w:rsidRDefault="00916894" w:rsidP="00526BF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4C8997" w14:textId="77777777" w:rsidR="00916894" w:rsidRPr="005C5FE5" w:rsidRDefault="00916894" w:rsidP="00526BF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DD3228" w:rsidR="004B7C26" w:rsidRDefault="000F0171" w:rsidP="004B7C26">
      <w:pPr>
        <w:rPr>
          <w:lang w:val="en-US"/>
        </w:rPr>
      </w:pPr>
      <w:r>
        <w:rPr>
          <w:lang w:val="en-US"/>
        </w:rPr>
        <w:t>Contribution [12]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 xml:space="preserve">Contribution [32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C23B54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C23B54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C23B54">
        <w:tc>
          <w:tcPr>
            <w:tcW w:w="1479" w:type="dxa"/>
          </w:tcPr>
          <w:p w14:paraId="1122D60E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7A9E6C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1C45B6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9987834" w14:textId="77777777" w:rsidTr="00C23B54">
        <w:tc>
          <w:tcPr>
            <w:tcW w:w="1479" w:type="dxa"/>
          </w:tcPr>
          <w:p w14:paraId="738181AF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A58FB21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6F1D6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24E7E7F" w14:textId="77777777" w:rsidTr="00C23B54">
        <w:tc>
          <w:tcPr>
            <w:tcW w:w="1479" w:type="dxa"/>
          </w:tcPr>
          <w:p w14:paraId="19485E73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5C296A" w14:textId="77777777" w:rsidR="004B7C26" w:rsidRPr="005C5FE5" w:rsidRDefault="004B7C26" w:rsidP="00C23B5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D6D7F" w14:textId="77777777" w:rsidR="004B7C26" w:rsidRPr="005C5FE5" w:rsidRDefault="004B7C26" w:rsidP="00C23B54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77777777" w:rsidR="00BE3F6F" w:rsidRDefault="00BE3F6F" w:rsidP="00BE3F6F">
      <w:pPr>
        <w:rPr>
          <w:lang w:val="en-US"/>
        </w:rPr>
      </w:pPr>
      <w:r>
        <w:rPr>
          <w:lang w:val="en-US"/>
        </w:rPr>
        <w:t>Contribution [36 (section 6)] proposes to update 38.213 and 38.822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4E3773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4E3773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4E3773">
        <w:tc>
          <w:tcPr>
            <w:tcW w:w="1479" w:type="dxa"/>
          </w:tcPr>
          <w:p w14:paraId="4FC9F00A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10A8847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C1ABAB2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C1DC298" w14:textId="77777777" w:rsidTr="004E3773">
        <w:tc>
          <w:tcPr>
            <w:tcW w:w="1479" w:type="dxa"/>
          </w:tcPr>
          <w:p w14:paraId="2CBE6FB8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D0C395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3EBE786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4E3773">
        <w:tc>
          <w:tcPr>
            <w:tcW w:w="1479" w:type="dxa"/>
          </w:tcPr>
          <w:p w14:paraId="6CBEFC8F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BF4C1" w14:textId="77777777" w:rsidR="00BE3F6F" w:rsidRPr="005C5FE5" w:rsidRDefault="00BE3F6F" w:rsidP="004E377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8198539" w14:textId="77777777" w:rsidR="00BE3F6F" w:rsidRPr="005C5FE5" w:rsidRDefault="00BE3F6F" w:rsidP="004E37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77777777" w:rsidR="00BE3F6F" w:rsidRDefault="00BE3F6F" w:rsidP="00BE3F6F">
      <w:pPr>
        <w:rPr>
          <w:lang w:val="en-US"/>
        </w:rPr>
      </w:pPr>
      <w:r>
        <w:rPr>
          <w:lang w:val="en-US"/>
        </w:rPr>
        <w:t>Contribution [15] proposes to include capability of CSI-RS based RLM (FG 1-7) into FG 28-1a and to reuse existing specifications for RLM on PCell.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77777777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[36] section 5 concerns the definition and values of the recently introduced NCD-SSB time offset parameter. It can be discussed together with the incoming LS in [46]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1B4698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1B4698" w:rsidP="00152C82">
            <w:pPr>
              <w:jc w:val="left"/>
              <w:rPr>
                <w:lang w:val="en-US"/>
              </w:rPr>
            </w:pPr>
            <w:hyperlink r:id="rId14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1B4698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5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1B4698" w:rsidP="005C5FE5">
            <w:pPr>
              <w:jc w:val="left"/>
              <w:rPr>
                <w:rFonts w:eastAsia="Calibri"/>
                <w:lang w:val="en-US"/>
              </w:rPr>
            </w:pPr>
            <w:hyperlink r:id="rId16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1B4698" w:rsidP="005C5FE5">
            <w:pPr>
              <w:jc w:val="left"/>
              <w:rPr>
                <w:rFonts w:eastAsia="Calibri"/>
                <w:lang w:val="en-US"/>
              </w:rPr>
            </w:pPr>
            <w:hyperlink r:id="rId17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8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9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1B4698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4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4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4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4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5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5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5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1B4698" w:rsidP="005C5FE5">
            <w:pPr>
              <w:jc w:val="left"/>
              <w:rPr>
                <w:color w:val="000000"/>
                <w:lang w:val="en-US"/>
              </w:rPr>
            </w:pPr>
            <w:hyperlink r:id="rId5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1B4698" w:rsidP="00A53ACF">
            <w:pPr>
              <w:jc w:val="left"/>
            </w:pPr>
            <w:hyperlink r:id="rId5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1B4698" w:rsidP="00A53ACF">
            <w:pPr>
              <w:jc w:val="left"/>
            </w:pPr>
            <w:hyperlink r:id="rId5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1B4698" w:rsidP="00A53ACF">
            <w:pPr>
              <w:jc w:val="left"/>
            </w:pPr>
            <w:hyperlink r:id="rId5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1B4698" w:rsidP="00A53ACF">
            <w:pPr>
              <w:jc w:val="left"/>
            </w:pPr>
            <w:hyperlink r:id="rId5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1B4698" w:rsidP="00A53ACF">
            <w:pPr>
              <w:jc w:val="left"/>
            </w:pPr>
            <w:hyperlink r:id="rId5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1B4698" w:rsidP="00D95C6D">
            <w:pPr>
              <w:jc w:val="left"/>
            </w:pPr>
            <w:hyperlink r:id="rId59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1B4698" w:rsidP="00D95C6D">
            <w:pPr>
              <w:jc w:val="left"/>
            </w:pPr>
            <w:hyperlink r:id="rId60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Huawei, HiSilicon</w:t>
            </w:r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1B4698" w:rsidP="00D95C6D">
            <w:pPr>
              <w:jc w:val="left"/>
            </w:pPr>
            <w:hyperlink r:id="rId61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1B4698" w:rsidP="00D95C6D">
            <w:pPr>
              <w:jc w:val="left"/>
            </w:pPr>
            <w:hyperlink r:id="rId62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1B4698" w:rsidP="00D95C6D">
            <w:pPr>
              <w:jc w:val="left"/>
            </w:pPr>
            <w:hyperlink r:id="rId63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1B4698" w:rsidP="00D95C6D">
            <w:pPr>
              <w:jc w:val="left"/>
            </w:pPr>
            <w:hyperlink r:id="rId64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1B4698" w:rsidP="00D95C6D">
            <w:pPr>
              <w:jc w:val="left"/>
            </w:pPr>
            <w:hyperlink r:id="rId65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ZTE, Sanechips</w:t>
            </w:r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1B4698" w:rsidP="00D95C6D">
            <w:pPr>
              <w:jc w:val="left"/>
            </w:pPr>
            <w:hyperlink r:id="rId66" w:history="1">
              <w:r w:rsidR="00D95C6D" w:rsidRPr="00D95C6D">
                <w:rPr>
                  <w:rStyle w:val="Hyperlink"/>
                  <w:color w:val="0000FF"/>
                  <w:lang w:eastAsia="en-SE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rPr>
                <w:lang w:eastAsia="en-SE"/>
              </w:rPr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E549" w14:textId="77777777" w:rsidR="0051430A" w:rsidRDefault="0051430A" w:rsidP="00C7577B">
      <w:pPr>
        <w:spacing w:after="0" w:line="240" w:lineRule="auto"/>
      </w:pPr>
      <w:r>
        <w:separator/>
      </w:r>
    </w:p>
  </w:endnote>
  <w:endnote w:type="continuationSeparator" w:id="0">
    <w:p w14:paraId="2F17AB1D" w14:textId="77777777" w:rsidR="0051430A" w:rsidRDefault="0051430A" w:rsidP="00C7577B">
      <w:pPr>
        <w:spacing w:after="0" w:line="240" w:lineRule="auto"/>
      </w:pPr>
      <w:r>
        <w:continuationSeparator/>
      </w:r>
    </w:p>
  </w:endnote>
  <w:endnote w:type="continuationNotice" w:id="1">
    <w:p w14:paraId="2DF4FAE9" w14:textId="77777777" w:rsidR="00264AA8" w:rsidRDefault="00264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6181" w14:textId="77777777" w:rsidR="0051430A" w:rsidRDefault="0051430A" w:rsidP="00C7577B">
      <w:pPr>
        <w:spacing w:after="0" w:line="240" w:lineRule="auto"/>
      </w:pPr>
      <w:r>
        <w:separator/>
      </w:r>
    </w:p>
  </w:footnote>
  <w:footnote w:type="continuationSeparator" w:id="0">
    <w:p w14:paraId="7D957646" w14:textId="77777777" w:rsidR="0051430A" w:rsidRDefault="0051430A" w:rsidP="00C7577B">
      <w:pPr>
        <w:spacing w:after="0" w:line="240" w:lineRule="auto"/>
      </w:pPr>
      <w:r>
        <w:continuationSeparator/>
      </w:r>
    </w:p>
  </w:footnote>
  <w:footnote w:type="continuationNotice" w:id="1">
    <w:p w14:paraId="25AE92B0" w14:textId="77777777" w:rsidR="00264AA8" w:rsidRDefault="00264A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32F"/>
    <w:rsid w:val="001415E5"/>
    <w:rsid w:val="00141C10"/>
    <w:rsid w:val="00142BAE"/>
    <w:rsid w:val="00142DC8"/>
    <w:rsid w:val="001432F9"/>
    <w:rsid w:val="00145767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F8B"/>
    <w:rsid w:val="00335D14"/>
    <w:rsid w:val="00336011"/>
    <w:rsid w:val="003367A1"/>
    <w:rsid w:val="003367B4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594"/>
    <w:rsid w:val="003A4F3E"/>
    <w:rsid w:val="003A54B0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B4"/>
    <w:rsid w:val="004472E2"/>
    <w:rsid w:val="004479CE"/>
    <w:rsid w:val="00447A6F"/>
    <w:rsid w:val="00447B56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79F"/>
    <w:rsid w:val="00542D8C"/>
    <w:rsid w:val="00543774"/>
    <w:rsid w:val="0054453D"/>
    <w:rsid w:val="00544921"/>
    <w:rsid w:val="00544B39"/>
    <w:rsid w:val="00545B9E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60BC"/>
    <w:rsid w:val="0057623E"/>
    <w:rsid w:val="005763E9"/>
    <w:rsid w:val="00576E94"/>
    <w:rsid w:val="00577275"/>
    <w:rsid w:val="00577A85"/>
    <w:rsid w:val="00577EAC"/>
    <w:rsid w:val="00580EC6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4780"/>
    <w:rsid w:val="006B4878"/>
    <w:rsid w:val="006B5347"/>
    <w:rsid w:val="006B589C"/>
    <w:rsid w:val="006C1625"/>
    <w:rsid w:val="006C1D1C"/>
    <w:rsid w:val="006C35B3"/>
    <w:rsid w:val="006C37FC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613E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20E8"/>
    <w:rsid w:val="00A72882"/>
    <w:rsid w:val="00A728F9"/>
    <w:rsid w:val="00A73711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5D"/>
    <w:rsid w:val="00AB6399"/>
    <w:rsid w:val="00AB644B"/>
    <w:rsid w:val="00AB687D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537"/>
    <w:rsid w:val="00B75684"/>
    <w:rsid w:val="00B758C4"/>
    <w:rsid w:val="00B760E3"/>
    <w:rsid w:val="00B76E96"/>
    <w:rsid w:val="00B76F29"/>
    <w:rsid w:val="00B77138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A7"/>
    <w:rsid w:val="00D610BD"/>
    <w:rsid w:val="00D61469"/>
    <w:rsid w:val="00D6218A"/>
    <w:rsid w:val="00D62415"/>
    <w:rsid w:val="00D62AEE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F19"/>
    <w:rsid w:val="00E13284"/>
    <w:rsid w:val="00E137FC"/>
    <w:rsid w:val="00E14161"/>
    <w:rsid w:val="00E14429"/>
    <w:rsid w:val="00E14F2B"/>
    <w:rsid w:val="00E15BB1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4DF8"/>
    <w:rsid w:val="00F44F50"/>
    <w:rsid w:val="00F451E2"/>
    <w:rsid w:val="00F4522F"/>
    <w:rsid w:val="00F453E7"/>
    <w:rsid w:val="00F456C8"/>
    <w:rsid w:val="00F469B4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0/Docs/R1-2206298.zip" TargetMode="External"/><Relationship Id="rId21" Type="http://schemas.openxmlformats.org/officeDocument/2006/relationships/hyperlink" Target="https://www.3gpp.org/ftp/TSG_RAN/WG1_RL1/TSGR1_109-e/Docs/R1-2205442.zip" TargetMode="External"/><Relationship Id="rId34" Type="http://schemas.openxmlformats.org/officeDocument/2006/relationships/hyperlink" Target="https://www.3gpp.org/ftp/TSG_RAN/WG1_RL1/TSGR1_110/Docs/R1-2206550.zip" TargetMode="External"/><Relationship Id="rId42" Type="http://schemas.openxmlformats.org/officeDocument/2006/relationships/hyperlink" Target="https://www.3gpp.org/ftp/TSG_RAN/WG1_RL1/TSGR1_110/Docs/R1-2206751.zip" TargetMode="External"/><Relationship Id="rId47" Type="http://schemas.openxmlformats.org/officeDocument/2006/relationships/hyperlink" Target="https://www.3gpp.org/ftp/TSG_RAN/WG1_RL1/TSGR1_110/Docs/R1-2207047.zip" TargetMode="External"/><Relationship Id="rId50" Type="http://schemas.openxmlformats.org/officeDocument/2006/relationships/hyperlink" Target="https://www.3gpp.org/ftp/TSG_RAN/WG1_RL1/TSGR1_110/Docs/R1-2207272.zip" TargetMode="External"/><Relationship Id="rId55" Type="http://schemas.openxmlformats.org/officeDocument/2006/relationships/hyperlink" Target="https://www.3gpp.org/ftp/TSG_RAN/WG1_RL1/TSGR1_110/Docs/R1-2207383.zip" TargetMode="External"/><Relationship Id="rId63" Type="http://schemas.openxmlformats.org/officeDocument/2006/relationships/hyperlink" Target="https://www.3gpp.org/ftp/TSG_RAN/WG1_RL1/TSGR1_110/Docs/R1-2206483.zip" TargetMode="External"/><Relationship Id="rId68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5107.zip" TargetMode="External"/><Relationship Id="rId29" Type="http://schemas.openxmlformats.org/officeDocument/2006/relationships/hyperlink" Target="https://www.3gpp.org/ftp/TSG_RAN/WG1_RL1/TSGR1_110/Docs/R1-2206442.zip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10/Docs/R1-2205789.zip" TargetMode="External"/><Relationship Id="rId32" Type="http://schemas.openxmlformats.org/officeDocument/2006/relationships/hyperlink" Target="https://www.3gpp.org/ftp/TSG_RAN/WG1_RL1/TSGR1_110/Docs/R1-2206548.zip" TargetMode="External"/><Relationship Id="rId37" Type="http://schemas.openxmlformats.org/officeDocument/2006/relationships/hyperlink" Target="https://www.3gpp.org/ftp/TSG_RAN/WG1_RL1/TSGR1_110/Docs/R1-2206746.zip" TargetMode="External"/><Relationship Id="rId40" Type="http://schemas.openxmlformats.org/officeDocument/2006/relationships/hyperlink" Target="https://www.3gpp.org/ftp/TSG_RAN/WG1_RL1/TSGR1_110/Docs/R1-2206749.zip" TargetMode="External"/><Relationship Id="rId45" Type="http://schemas.openxmlformats.org/officeDocument/2006/relationships/hyperlink" Target="https://www.3gpp.org/ftp/TSG_RAN/WG1_RL1/TSGR1_110/Docs/R1-2207045.zip" TargetMode="External"/><Relationship Id="rId53" Type="http://schemas.openxmlformats.org/officeDocument/2006/relationships/hyperlink" Target="https://www.3gpp.org/ftp/TSG_RAN/WG1_RL1/TSGR1_110/Docs/R1-2207275.zip" TargetMode="External"/><Relationship Id="rId58" Type="http://schemas.openxmlformats.org/officeDocument/2006/relationships/hyperlink" Target="https://www.3gpp.org/ftp/TSG_RAN/WG1_RL1/TSGR1_110/Docs/R1-2207669.zip" TargetMode="External"/><Relationship Id="rId66" Type="http://schemas.openxmlformats.org/officeDocument/2006/relationships/hyperlink" Target="https://www.3gpp.org/ftp/TSG_RAN/WG1_RL1/TSGR1_110/Docs/R1-2207614.zip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3gpp.org/ftp/TSG_RAN/WG1_RL1/TSGR1_110/Docs/R1-2206415.zip" TargetMode="External"/><Relationship Id="rId19" Type="http://schemas.openxmlformats.org/officeDocument/2006/relationships/hyperlink" Target="https://www.3gpp.org/ftp/TSG_RAN/WG1_RL1/TSGR1_109-e/Docs/R1-2203046.zip" TargetMode="External"/><Relationship Id="rId14" Type="http://schemas.openxmlformats.org/officeDocument/2006/relationships/hyperlink" Target="https://www.3gpp.org/ftp/TSG_RAN/TSG_RAN/TSGR_96/Docs/RP-221163.zip" TargetMode="External"/><Relationship Id="rId22" Type="http://schemas.openxmlformats.org/officeDocument/2006/relationships/hyperlink" Target="https://www.3gpp.org/ftp/TSG_RAN/WG1_RL1/TSGR1_110/Docs/R1-2205738.zip" TargetMode="External"/><Relationship Id="rId27" Type="http://schemas.openxmlformats.org/officeDocument/2006/relationships/hyperlink" Target="https://www.3gpp.org/ftp/TSG_RAN/WG1_RL1/TSGR1_110/Docs/R1-2206369.zip" TargetMode="External"/><Relationship Id="rId30" Type="http://schemas.openxmlformats.org/officeDocument/2006/relationships/hyperlink" Target="https://www.3gpp.org/ftp/TSG_RAN/WG1_RL1/TSGR1_110/Docs/R1-2206546.zip" TargetMode="External"/><Relationship Id="rId35" Type="http://schemas.openxmlformats.org/officeDocument/2006/relationships/hyperlink" Target="https://www.3gpp.org/ftp/TSG_RAN/WG1_RL1/TSGR1_110/Docs/R1-2206551.zip" TargetMode="External"/><Relationship Id="rId43" Type="http://schemas.openxmlformats.org/officeDocument/2006/relationships/hyperlink" Target="https://www.3gpp.org/ftp/TSG_RAN/WG1_RL1/TSGR1_110/Docs/R1-2206888.zip" TargetMode="External"/><Relationship Id="rId48" Type="http://schemas.openxmlformats.org/officeDocument/2006/relationships/hyperlink" Target="https://www.3gpp.org/ftp/TSG_RAN/WG1_RL1/TSGR1_110/Docs/R1-2207048.zip" TargetMode="External"/><Relationship Id="rId56" Type="http://schemas.openxmlformats.org/officeDocument/2006/relationships/hyperlink" Target="https://www.3gpp.org/ftp/TSG_RAN/WG1_RL1/TSGR1_110/Docs/R1-2207384.zip" TargetMode="External"/><Relationship Id="rId64" Type="http://schemas.openxmlformats.org/officeDocument/2006/relationships/hyperlink" Target="https://www.3gpp.org/ftp/TSG_RAN/WG1_RL1/TSGR1_110/Docs/R1-220670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273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0/Docs/R1-2205703.zip" TargetMode="External"/><Relationship Id="rId17" Type="http://schemas.openxmlformats.org/officeDocument/2006/relationships/hyperlink" Target="https://www.3gpp.org/ftp/TSG_RAN/WG1_RL1/TSGR1_109-e/Docs/R1-2205428.zip" TargetMode="External"/><Relationship Id="rId25" Type="http://schemas.openxmlformats.org/officeDocument/2006/relationships/hyperlink" Target="https://www.3gpp.org/ftp/TSG_RAN/WG1_RL1/TSGR1_110/Docs/R1-2205974.zip" TargetMode="External"/><Relationship Id="rId33" Type="http://schemas.openxmlformats.org/officeDocument/2006/relationships/hyperlink" Target="https://www.3gpp.org/ftp/TSG_RAN/WG1_RL1/TSGR1_110/Docs/R1-2206549.zip" TargetMode="External"/><Relationship Id="rId38" Type="http://schemas.openxmlformats.org/officeDocument/2006/relationships/hyperlink" Target="https://www.3gpp.org/ftp/TSG_RAN/WG1_RL1/TSGR1_110/Docs/R1-2206747.zip" TargetMode="External"/><Relationship Id="rId46" Type="http://schemas.openxmlformats.org/officeDocument/2006/relationships/hyperlink" Target="https://www.3gpp.org/ftp/TSG_RAN/WG1_RL1/TSGR1_110/Docs/R1-2207046.zip" TargetMode="External"/><Relationship Id="rId59" Type="http://schemas.openxmlformats.org/officeDocument/2006/relationships/hyperlink" Target="https://www.3gpp.org/ftp/TSG_RAN/WG1_RL1/TSGR1_110/Docs/R1-2205734.zi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3gpp.org/ftp/TSG_RAN/WG1_RL1/TSGR1_109-e/Docs/R1-2205364.zip" TargetMode="External"/><Relationship Id="rId41" Type="http://schemas.openxmlformats.org/officeDocument/2006/relationships/hyperlink" Target="https://www.3gpp.org/ftp/TSG_RAN/WG1_RL1/TSGR1_110/Docs/R1-2206750.zip" TargetMode="External"/><Relationship Id="rId54" Type="http://schemas.openxmlformats.org/officeDocument/2006/relationships/hyperlink" Target="https://www.3gpp.org/ftp/TSG_RAN/WG1_RL1/TSGR1_110/Docs/R1-2207276.zip" TargetMode="External"/><Relationship Id="rId62" Type="http://schemas.openxmlformats.org/officeDocument/2006/relationships/hyperlink" Target="https://www.3gpp.org/ftp/TSG_RAN/WG1_RL1/TSGR1_110/Docs/R1-220644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09-e/Docs/R1-2205427.zip" TargetMode="External"/><Relationship Id="rId23" Type="http://schemas.openxmlformats.org/officeDocument/2006/relationships/hyperlink" Target="https://www.3gpp.org/ftp/TSG_RAN/WG1_RL1/TSGR1_110/Docs/R1-2205788.zip" TargetMode="External"/><Relationship Id="rId28" Type="http://schemas.openxmlformats.org/officeDocument/2006/relationships/hyperlink" Target="https://www.3gpp.org/ftp/TSG_RAN/WG1_RL1/TSGR1_110/Docs/R1-2206416.zip" TargetMode="External"/><Relationship Id="rId36" Type="http://schemas.openxmlformats.org/officeDocument/2006/relationships/hyperlink" Target="https://www.3gpp.org/ftp/TSG_RAN/WG1_RL1/TSGR1_110/Docs/R1-2206616.zip" TargetMode="External"/><Relationship Id="rId49" Type="http://schemas.openxmlformats.org/officeDocument/2006/relationships/hyperlink" Target="https://www.3gpp.org/ftp/TSG_RAN/WG1_RL1/TSGR1_110/Docs/R1-2207196.zip" TargetMode="External"/><Relationship Id="rId57" Type="http://schemas.openxmlformats.org/officeDocument/2006/relationships/hyperlink" Target="https://www.3gpp.org/ftp/TSG_RAN/WG1_RL1/TSGR1_110/Docs/R1-2207494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7.zip" TargetMode="External"/><Relationship Id="rId44" Type="http://schemas.openxmlformats.org/officeDocument/2006/relationships/hyperlink" Target="https://www.3gpp.org/ftp/TSG_RAN/WG1_RL1/TSGR1_110/Docs/R1-2207000.zip" TargetMode="External"/><Relationship Id="rId52" Type="http://schemas.openxmlformats.org/officeDocument/2006/relationships/hyperlink" Target="https://www.3gpp.org/ftp/TSG_RAN/WG1_RL1/TSGR1_110/Docs/R1-2207274.zip" TargetMode="External"/><Relationship Id="rId60" Type="http://schemas.openxmlformats.org/officeDocument/2006/relationships/hyperlink" Target="https://www.3gpp.org/ftp/TSG_RAN/WG1_RL1/TSGR1_110/Docs/R1-2205761.zip" TargetMode="External"/><Relationship Id="rId65" Type="http://schemas.openxmlformats.org/officeDocument/2006/relationships/hyperlink" Target="https://www.3gpp.org/ftp/TSG_RAN/WG1_RL1/TSGR1_110/Docs/R1-220704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5429.zip" TargetMode="External"/><Relationship Id="rId39" Type="http://schemas.openxmlformats.org/officeDocument/2006/relationships/hyperlink" Target="https://www.3gpp.org/ftp/TSG_RAN/WG1_RL1/TSGR1_110/Docs/R1-220674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82886-5C20-4F40-BE61-D52C740B1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f282d3b-eb4a-4b09-b61f-b9593442e286"/>
    <ds:schemaRef ds:uri="http://purl.org/dc/elements/1.1/"/>
    <ds:schemaRef ds:uri="http://purl.org/dc/terms/"/>
    <ds:schemaRef ds:uri="http://schemas.microsoft.com/office/infopath/2007/PartnerControls"/>
    <ds:schemaRef ds:uri="d8762117-8292-4133-b1c7-eab5c6487cfd"/>
    <ds:schemaRef ds:uri="9b239327-9e80-40e4-b1b7-4394fed77a3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D975DE-CEAA-42BA-9F45-BF74A770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240</cp:revision>
  <dcterms:created xsi:type="dcterms:W3CDTF">2022-05-19T17:12:00Z</dcterms:created>
  <dcterms:modified xsi:type="dcterms:W3CDTF">2022-08-19T01:05:00Z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