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R1-2207708</w:t>
      </w:r>
    </w:p>
    <w:p>
      <w:pPr>
        <w:tabs>
          <w:tab w:val="center" w:pos="4536"/>
          <w:tab w:val="right" w:pos="9072"/>
        </w:tabs>
        <w:rPr>
          <w:rFonts w:ascii="Arial" w:hAnsi="Arial" w:eastAsia="ＭＳ 明朝" w:cs="Arial"/>
          <w:b/>
          <w:bCs/>
          <w:sz w:val="28"/>
        </w:rPr>
      </w:pPr>
      <w:r>
        <w:rPr>
          <w:rFonts w:ascii="Arial" w:hAnsi="Arial" w:eastAsia="ＭＳ 明朝" w:cs="Arial"/>
          <w:b/>
          <w:bCs/>
          <w:sz w:val="28"/>
        </w:rPr>
        <w:t>Toulouse, France, August 22</w:t>
      </w:r>
      <w:r>
        <w:rPr>
          <w:rFonts w:ascii="Arial" w:hAnsi="Arial" w:eastAsia="ＭＳ 明朝" w:cs="Arial"/>
          <w:b/>
          <w:bCs/>
          <w:sz w:val="28"/>
          <w:vertAlign w:val="superscript"/>
        </w:rPr>
        <w:t>nd</w:t>
      </w:r>
      <w:r>
        <w:rPr>
          <w:rFonts w:ascii="Arial" w:hAnsi="Arial" w:eastAsia="ＭＳ 明朝" w:cs="Arial"/>
          <w:b/>
          <w:bCs/>
          <w:sz w:val="28"/>
        </w:rPr>
        <w:t xml:space="preserve"> – 26</w:t>
      </w:r>
      <w:r>
        <w:rPr>
          <w:rFonts w:ascii="Arial" w:hAnsi="Arial" w:eastAsia="ＭＳ 明朝" w:cs="Arial"/>
          <w:b/>
          <w:bCs/>
          <w:sz w:val="28"/>
          <w:vertAlign w:val="superscript"/>
        </w:rPr>
        <w:t>th</w:t>
      </w:r>
      <w:r>
        <w:rPr>
          <w:rFonts w:ascii="Arial" w:hAnsi="Arial" w:eastAsia="ＭＳ 明朝"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ＭＳ 明朝"/>
          <w:lang w:val="en-US"/>
        </w:rPr>
        <w:t>8</w:t>
      </w:r>
      <w:r>
        <w:rPr>
          <w:rFonts w:ascii="Arial" w:hAnsi="Arial" w:eastAsia="Malgun Gothic"/>
          <w:lang w:val="en-US" w:eastAsia="ko-KR"/>
        </w:rPr>
        <w:t>.1</w:t>
      </w:r>
      <w:r>
        <w:rPr>
          <w:rFonts w:ascii="Arial" w:hAnsi="Arial" w:eastAsiaTheme="minorEastAsia"/>
          <w:lang w:val="en-US"/>
        </w:rPr>
        <w:t>6.5</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on UE features for TEI17</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ＭＳ 明朝"/>
          <w:b/>
          <w:bCs/>
          <w:szCs w:val="24"/>
          <w:lang w:val="en-US"/>
        </w:rPr>
      </w:pPr>
      <w:r>
        <w:rPr>
          <w:rFonts w:hint="eastAsia" w:eastAsia="ＭＳ 明朝"/>
          <w:b/>
          <w:bCs/>
          <w:szCs w:val="24"/>
          <w:lang w:val="en-US"/>
        </w:rPr>
        <w:t>Introduction</w:t>
      </w:r>
    </w:p>
    <w:p>
      <w:pPr>
        <w:spacing w:after="120" w:afterLines="50"/>
        <w:jc w:val="both"/>
        <w:rPr>
          <w:rFonts w:eastAsia="ＭＳ 明朝"/>
          <w:sz w:val="22"/>
          <w:szCs w:val="22"/>
          <w:lang w:val="en-US"/>
        </w:rPr>
      </w:pPr>
      <w:r>
        <w:rPr>
          <w:rFonts w:eastAsia="ＭＳ 明朝"/>
          <w:sz w:val="22"/>
          <w:szCs w:val="22"/>
          <w:lang w:val="en-US"/>
        </w:rPr>
        <w:t xml:space="preserve">This document summarizes contributions submitted to </w:t>
      </w:r>
      <w:r>
        <w:rPr>
          <w:rFonts w:hint="eastAsia" w:eastAsia="ＭＳ 明朝"/>
          <w:sz w:val="22"/>
          <w:szCs w:val="22"/>
          <w:lang w:val="en-US"/>
        </w:rPr>
        <w:t>AI</w:t>
      </w:r>
      <w:r>
        <w:rPr>
          <w:rFonts w:eastAsia="ＭＳ 明朝"/>
          <w:sz w:val="22"/>
          <w:szCs w:val="22"/>
          <w:lang w:val="en-US"/>
        </w:rPr>
        <w:t xml:space="preserve"> 8.16.5 regarding UE features for TEI17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pPr>
              <w:numPr>
                <w:ilvl w:val="0"/>
                <w:numId w:val="11"/>
              </w:numPr>
              <w:overflowPunct w:val="0"/>
              <w:autoSpaceDE w:val="0"/>
              <w:autoSpaceDN w:val="0"/>
              <w:adjustRightInd w:val="0"/>
              <w:spacing w:after="180"/>
              <w:textAlignment w:val="baseline"/>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pPr>
        <w:spacing w:after="120" w:afterLines="50"/>
        <w:jc w:val="both"/>
        <w:rPr>
          <w:rFonts w:eastAsia="ＭＳ 明朝"/>
          <w:sz w:val="22"/>
          <w:szCs w:val="22"/>
        </w:rPr>
      </w:pPr>
    </w:p>
    <w:p>
      <w:pPr>
        <w:spacing w:after="120" w:afterLines="50"/>
        <w:jc w:val="both"/>
        <w:rPr>
          <w:sz w:val="22"/>
          <w:lang w:val="en-US"/>
        </w:rPr>
      </w:pPr>
      <w:r>
        <w:rPr>
          <w:rFonts w:hint="eastAsia" w:eastAsia="ＭＳ 明朝"/>
          <w:sz w:val="22"/>
          <w:szCs w:val="22"/>
          <w:lang w:val="en-US"/>
        </w:rPr>
        <w:t>B</w:t>
      </w:r>
      <w:r>
        <w:rPr>
          <w:rFonts w:eastAsia="ＭＳ 明朝"/>
          <w:sz w:val="22"/>
          <w:szCs w:val="22"/>
          <w:lang w:val="en-US"/>
        </w:rPr>
        <w:t>ased on the latest RAN1 UE features list in [1] and contributions in AI 8.16.5 discussing UE features for TEI17,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pPr>
        <w:spacing w:after="120" w:afterLines="50"/>
        <w:jc w:val="both"/>
        <w:rPr>
          <w:b/>
          <w:bCs/>
          <w:sz w:val="22"/>
          <w:lang w:val="en-US"/>
        </w:rPr>
      </w:pPr>
    </w:p>
    <w:p>
      <w:pPr>
        <w:rPr>
          <w:sz w:val="22"/>
          <w:lang w:val="en-US"/>
        </w:rPr>
        <w:sectPr>
          <w:headerReference r:id="rId5" w:type="first"/>
          <w:footerReference r:id="rId8" w:type="first"/>
          <w:headerReference r:id="rId3" w:type="default"/>
          <w:footerReference r:id="rId6" w:type="default"/>
          <w:headerReference r:id="rId4" w:type="even"/>
          <w:footerReference r:id="rId7" w:type="even"/>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ＭＳ 明朝"/>
          <w:b/>
          <w:bCs/>
          <w:szCs w:val="24"/>
          <w:lang w:val="en-US"/>
        </w:rPr>
      </w:pPr>
      <w:r>
        <w:rPr>
          <w:rFonts w:hint="eastAsia" w:eastAsia="ＭＳ 明朝"/>
          <w:b/>
          <w:bCs/>
          <w:szCs w:val="24"/>
          <w:lang w:val="en-US"/>
        </w:rPr>
        <w:t>D</w:t>
      </w:r>
      <w:r>
        <w:rPr>
          <w:rFonts w:eastAsia="ＭＳ 明朝"/>
          <w:b/>
          <w:bCs/>
          <w:szCs w:val="24"/>
          <w:lang w:val="en-US"/>
        </w:rPr>
        <w:t>iscussion</w:t>
      </w:r>
    </w:p>
    <w:p>
      <w:pPr>
        <w:pStyle w:val="3"/>
        <w:rPr>
          <w:rFonts w:eastAsia="ＭＳ 明朝"/>
          <w:b/>
          <w:bCs/>
          <w:szCs w:val="24"/>
          <w:lang w:val="en-US"/>
        </w:rPr>
      </w:pPr>
      <w:r>
        <w:rPr>
          <w:rFonts w:eastAsia="ＭＳ 明朝"/>
          <w:b/>
          <w:bCs/>
          <w:szCs w:val="24"/>
          <w:lang w:val="en-US"/>
        </w:rPr>
        <w:t>2.1</w:t>
      </w:r>
      <w:r>
        <w:rPr>
          <w:rFonts w:eastAsia="ＭＳ 明朝"/>
          <w:b/>
          <w:bCs/>
          <w:szCs w:val="24"/>
          <w:lang w:val="en-US"/>
        </w:rPr>
        <w:tab/>
      </w:r>
      <w:r>
        <w:rPr>
          <w:rFonts w:eastAsia="ＭＳ 明朝"/>
          <w:b/>
          <w:bCs/>
          <w:szCs w:val="24"/>
          <w:lang w:val="en-US"/>
        </w:rPr>
        <w:t>39-3-1: Stay on the target CC for SRS carrier switching, and 39-3-2: Affected bands for inter-band CA during SRS carrier switching</w:t>
      </w:r>
    </w:p>
    <w:p>
      <w:pPr>
        <w:spacing w:after="120" w:afterLines="50"/>
        <w:jc w:val="both"/>
        <w:rPr>
          <w:sz w:val="22"/>
          <w:lang w:val="en-US"/>
        </w:rPr>
      </w:pPr>
      <w:r>
        <w:rPr>
          <w:rFonts w:hint="eastAsia"/>
          <w:sz w:val="22"/>
          <w:lang w:val="en-US"/>
        </w:rPr>
        <w:t>I</w:t>
      </w:r>
      <w:r>
        <w:rPr>
          <w:sz w:val="22"/>
          <w:lang w:val="en-US"/>
        </w:rPr>
        <w:t>n [1], FG 39-3-1/2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9-3-1</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Stay on the target CC for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2</w:t>
            </w:r>
            <w:r>
              <w:rPr>
                <w:rFonts w:eastAsia="ＭＳ 明朝"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Note2: If the UE does not indicate this capability, the UE falls back to Rel-15 behavior, that is UE switches back to source CC between the SRS resource sets</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9-3-2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Affected bands for inter-band CA during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2</w:t>
            </w:r>
            <w:r>
              <w:rPr>
                <w:rFonts w:eastAsia="ＭＳ 明朝"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If this new indication is missing, the UE defaults to Rel-15 behavior.</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For each “source-target” pair (as indicated by srs-SwitchingTimesListNR), the UE can indicate which other bands in the band combination are affected by the SRS switch.</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rPr>
            </w:pPr>
            <w:r>
              <w:rPr>
                <w:rFonts w:hint="eastAsia"/>
                <w:color w:val="000000"/>
                <w:sz w:val="22"/>
                <w:szCs w:val="22"/>
              </w:rPr>
              <w:t>[3]</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N</w:t>
            </w:r>
            <w:r>
              <w:rPr>
                <w:color w:val="000000"/>
                <w:sz w:val="22"/>
                <w:szCs w:val="22"/>
              </w:rPr>
              <w:t>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In our understanding, the capabilities above are the results of the lengthy discussion in RAN1 on SRS carrier switching. The only remaining issue would be whether to consider another Tx switching case here. From our perspective, it could be ok to go with above for SRS carrier switching only to conclude the lengthy RAN1 discussion. </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6: Support FG39-3-1/2 for SRS carrier switching (i.e., remove [This is a working assumption])</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2-1:</w:t>
      </w:r>
    </w:p>
    <w:p>
      <w:pPr>
        <w:pStyle w:val="91"/>
        <w:numPr>
          <w:ilvl w:val="0"/>
          <w:numId w:val="12"/>
        </w:numPr>
        <w:spacing w:after="120" w:afterLines="50"/>
        <w:ind w:leftChars="0"/>
        <w:jc w:val="both"/>
        <w:rPr>
          <w:b/>
          <w:bCs/>
          <w:szCs w:val="24"/>
          <w:lang w:val="en-US"/>
        </w:rPr>
      </w:pPr>
      <w:r>
        <w:rPr>
          <w:b/>
          <w:bCs/>
          <w:szCs w:val="24"/>
          <w:lang w:val="en-US"/>
        </w:rPr>
        <w:t>Confirm Working assumption to define FG39-3-1 and FG39-3-2</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Yu Gothic"/>
                <w:sz w:val="22"/>
                <w:szCs w:val="22"/>
                <w:lang w:val="en-US"/>
              </w:rPr>
            </w:pPr>
            <w:r>
              <w:rPr>
                <w:sz w:val="22"/>
                <w:szCs w:val="22"/>
              </w:rPr>
              <w:t>S</w:t>
            </w:r>
            <w:r>
              <w:rPr>
                <w:rFonts w:hint="eastAsia"/>
                <w:sz w:val="22"/>
                <w:szCs w:val="22"/>
              </w:rPr>
              <w:t xml:space="preserve">ome contributions in AI 7.1 </w:t>
            </w:r>
            <w:r>
              <w:rPr>
                <w:sz w:val="22"/>
                <w:szCs w:val="22"/>
              </w:rPr>
              <w:t xml:space="preserve">also </w:t>
            </w:r>
            <w:r>
              <w:rPr>
                <w:rFonts w:hint="eastAsia"/>
                <w:sz w:val="22"/>
                <w:szCs w:val="22"/>
              </w:rPr>
              <w:t xml:space="preserve">discuss on </w:t>
            </w:r>
            <w:r>
              <w:rPr>
                <w:sz w:val="22"/>
                <w:szCs w:val="22"/>
              </w:rPr>
              <w:t>FG39-3-1/2</w:t>
            </w:r>
            <w:r>
              <w:rPr>
                <w:rFonts w:hint="eastAsia"/>
                <w:sz w:val="22"/>
                <w:szCs w:val="22"/>
              </w:rPr>
              <w:t>.</w:t>
            </w:r>
            <w:r>
              <w:rPr>
                <w:sz w:val="22"/>
                <w:szCs w:val="22"/>
              </w:rPr>
              <w:t xml:space="preserve"> Therefore, based on the coordination with RAN1 chair, whether to confirm the working assumption is discussed in AI 7.1.</w:t>
            </w:r>
          </w:p>
          <w:p>
            <w:pPr>
              <w:overflowPunct w:val="0"/>
              <w:autoSpaceDE w:val="0"/>
              <w:autoSpaceDN w:val="0"/>
              <w:adjustRightInd w:val="0"/>
              <w:spacing w:after="180"/>
              <w:textAlignment w:val="baseline"/>
              <w:rPr>
                <w:b/>
                <w:bCs/>
                <w:sz w:val="21"/>
                <w:szCs w:val="21"/>
                <w:lang w:eastAsia="zh-CN"/>
              </w:rPr>
            </w:pPr>
            <w:r>
              <w:rPr>
                <w:rFonts w:hint="eastAsia"/>
                <w:b/>
                <w:bCs/>
                <w:lang w:eastAsia="zh-CN"/>
              </w:rPr>
              <w:t xml:space="preserve">SRS carrier switching (to be moderated by Keyvan </w:t>
            </w:r>
            <w:r>
              <w:rPr>
                <w:rFonts w:hint="eastAsia"/>
                <w:b/>
                <w:bCs/>
                <w:lang w:val="zh-CN" w:eastAsia="zh-CN"/>
              </w:rPr>
              <w:t>–</w:t>
            </w:r>
            <w:r>
              <w:rPr>
                <w:rFonts w:hint="eastAsia"/>
                <w:b/>
                <w:bCs/>
                <w:lang w:eastAsia="zh-CN"/>
              </w:rPr>
              <w:t xml:space="preserve"> Huawei)</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"file:///C:\\Users\\younsun\\Documents\\3GPP%20documents\\RAN1%20tdocs\\TSGR1_110\\Docs\\R1-2205765.zip" </w:instrText>
            </w:r>
            <w:r>
              <w:fldChar w:fldCharType="separate"/>
            </w:r>
            <w:r>
              <w:rPr>
                <w:rStyle w:val="45"/>
                <w:rFonts w:hint="eastAsia" w:eastAsia="MS Gothic"/>
                <w:lang w:eastAsia="zh-CN"/>
              </w:rPr>
              <w:t>R1-2205765</w:t>
            </w:r>
            <w:r>
              <w:rPr>
                <w:rStyle w:val="45"/>
                <w:rFonts w:hint="eastAsia" w:eastAsia="MS Gothic"/>
                <w:lang w:eastAsia="zh-CN"/>
              </w:rPr>
              <w:fldChar w:fldCharType="end"/>
            </w:r>
            <w:r>
              <w:rPr>
                <w:rFonts w:hint="eastAsia"/>
                <w:lang w:eastAsia="zh-CN"/>
              </w:rPr>
              <w:t>        Discussion on SRS carrier switching            Huawei, HiSilicon</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"file:///C:\\Users\\younsun\\Documents\\3GPP%20documents\\RAN1%20tdocs\\TSGR1_110\\Docs\\R1-2206531.zip" </w:instrText>
            </w:r>
            <w:r>
              <w:fldChar w:fldCharType="separate"/>
            </w:r>
            <w:r>
              <w:rPr>
                <w:rStyle w:val="45"/>
                <w:rFonts w:hint="eastAsia" w:eastAsia="MS Gothic"/>
                <w:lang w:eastAsia="zh-CN"/>
              </w:rPr>
              <w:t>R1-2206531</w:t>
            </w:r>
            <w:r>
              <w:rPr>
                <w:rStyle w:val="45"/>
                <w:rFonts w:hint="eastAsia" w:eastAsia="MS Gothic"/>
                <w:lang w:eastAsia="zh-CN"/>
              </w:rPr>
              <w:fldChar w:fldCharType="end"/>
            </w:r>
            <w:r>
              <w:rPr>
                <w:rFonts w:hint="eastAsia"/>
                <w:lang w:eastAsia="zh-CN"/>
              </w:rPr>
              <w:t>        Discussion on SRS carrier switching            Intel Corporation</w:t>
            </w:r>
          </w:p>
          <w:p>
            <w:pPr>
              <w:overflowPunct w:val="0"/>
              <w:autoSpaceDE w:val="0"/>
              <w:autoSpaceDN w:val="0"/>
              <w:adjustRightInd w:val="0"/>
              <w:spacing w:after="180"/>
              <w:textAlignment w:val="baseline"/>
              <w:rPr>
                <w:lang w:eastAsia="zh-CN"/>
              </w:rPr>
            </w:pPr>
            <w:r>
              <w:fldChar w:fldCharType="begin"/>
            </w:r>
            <w:r>
              <w:instrText xml:space="preserve"> HYPERLINK "file:///C:\\Users\\younsun\\Documents\\3GPP%20documents\\RAN1%20tdocs\\TSGR1_110\\Docs\\R1-2207171.zip" </w:instrText>
            </w:r>
            <w:r>
              <w:fldChar w:fldCharType="separate"/>
            </w:r>
            <w:r>
              <w:rPr>
                <w:rStyle w:val="45"/>
                <w:rFonts w:hint="eastAsia" w:eastAsia="MS Gothic"/>
                <w:lang w:eastAsia="zh-CN"/>
              </w:rPr>
              <w:t>R1-2207171</w:t>
            </w:r>
            <w:r>
              <w:rPr>
                <w:rStyle w:val="45"/>
                <w:rFonts w:hint="eastAsia" w:eastAsia="MS Gothic"/>
                <w:lang w:eastAsia="zh-CN"/>
              </w:rPr>
              <w:fldChar w:fldCharType="end"/>
            </w:r>
            <w:r>
              <w:rPr>
                <w:rFonts w:hint="eastAsia"/>
                <w:lang w:eastAsia="zh-CN"/>
              </w:rPr>
              <w:t>        Remaining issues for SRS carrier switching 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Agree with Moderator’s suggestion.</w:t>
            </w:r>
          </w:p>
        </w:tc>
      </w:tr>
    </w:tbl>
    <w:p>
      <w:pPr>
        <w:spacing w:after="120" w:afterLines="50"/>
        <w:jc w:val="both"/>
        <w:rPr>
          <w:sz w:val="22"/>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2.2</w:t>
      </w:r>
      <w:r>
        <w:rPr>
          <w:rFonts w:eastAsia="ＭＳ 明朝"/>
          <w:b/>
          <w:bCs/>
          <w:szCs w:val="24"/>
          <w:lang w:val="en-US"/>
        </w:rPr>
        <w:tab/>
      </w:r>
      <w:r>
        <w:rPr>
          <w:rFonts w:eastAsia="ＭＳ 明朝"/>
          <w:b/>
          <w:bCs/>
          <w:szCs w:val="24"/>
          <w:lang w:val="en-US"/>
        </w:rPr>
        <w:t>new FG: Parallel MsgA and SRS/PUCCH/PUSCH transmissions across CCs in intra-band non-contiguous CA</w:t>
      </w:r>
    </w:p>
    <w:p>
      <w:pPr>
        <w:spacing w:after="120" w:afterLines="50"/>
        <w:jc w:val="both"/>
        <w:rPr>
          <w:sz w:val="22"/>
          <w:lang w:val="en-US"/>
        </w:rPr>
      </w:pPr>
      <w:r>
        <w:rPr>
          <w:rFonts w:hint="eastAsia"/>
          <w:sz w:val="22"/>
          <w:lang w:val="en-US"/>
        </w:rPr>
        <w:t>I</w:t>
      </w:r>
      <w:r>
        <w:rPr>
          <w:sz w:val="22"/>
          <w:lang w:val="en-US"/>
        </w:rPr>
        <w:t>n [1], FG 39-1/2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9-1</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SRS and PUCCH/PUSCH transmission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SRS and PUCCH/PUSCH transmission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SRS and PUCCH/PUSCH transmission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This feature is the same as parallelTxSRS-PUCCH-PUSCH, but for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PRACH and SRS/PUCCH/PUSCH transmissions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PRACH and SRS/PUCCH/PUSCH transmissions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PRACH and SRS/PUCCH/PUSCH transmissions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 xml:space="preserve">This feature is the same as parallelTxPRACH-SRS-PUCCH-PUSCH, but for intra-band non-contiguous CA. This feature is enabled by a new UE-specific RRC parameter </w:t>
            </w:r>
            <w:r>
              <w:rPr>
                <w:rFonts w:asciiTheme="majorHAnsi" w:hAnsiTheme="majorHAnsi" w:cstheme="majorHAnsi"/>
                <w:i/>
                <w:iCs/>
                <w:szCs w:val="18"/>
              </w:rPr>
              <w:t>intraBandNC-PRACH-simulTx-r17</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rPr>
            </w:pPr>
            <w:r>
              <w:rPr>
                <w:rFonts w:hint="eastAsia"/>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Z</w:t>
            </w:r>
            <w:r>
              <w:rPr>
                <w:color w:val="000000"/>
                <w:sz w:val="22"/>
                <w:szCs w:val="22"/>
              </w:rPr>
              <w:t>TE</w:t>
            </w:r>
          </w:p>
        </w:tc>
        <w:tc>
          <w:tcPr>
            <w:tcW w:w="4486" w:type="pct"/>
          </w:tcPr>
          <w:p>
            <w:pPr>
              <w:overflowPunct w:val="0"/>
              <w:autoSpaceDE w:val="0"/>
              <w:autoSpaceDN w:val="0"/>
              <w:adjustRightInd w:val="0"/>
              <w:snapToGrid w:val="0"/>
              <w:spacing w:after="180"/>
              <w:textAlignment w:val="baseline"/>
              <w:rPr>
                <w:rFonts w:eastAsia="宋体"/>
                <w:sz w:val="20"/>
                <w:lang w:val="en-US"/>
              </w:rPr>
            </w:pPr>
            <w:r>
              <w:rPr>
                <w:rFonts w:eastAsia="宋体"/>
              </w:rPr>
              <w:t xml:space="preserve">However, although the Rel-16 UE capability </w:t>
            </w:r>
            <w:r>
              <w:rPr>
                <w:rFonts w:eastAsia="宋体"/>
                <w:i/>
                <w:iCs/>
              </w:rPr>
              <w:t>parallelTxMsgA-SRS-PUCCH-PUSCH-r16</w:t>
            </w:r>
            <w:r>
              <w:rPr>
                <w:rFonts w:eastAsia="宋体"/>
              </w:rPr>
              <w:t xml:space="preserve"> also follows the same logic that intra-band non-contiguous CA is a similar case as inter-band CA, this case hasn’t been extended to a new Rel-17 UE feature similar as FG 39-1 and 39-2.</w:t>
            </w:r>
          </w:p>
          <w:p>
            <w:pPr>
              <w:overflowPunct w:val="0"/>
              <w:autoSpaceDE w:val="0"/>
              <w:autoSpaceDN w:val="0"/>
              <w:adjustRightInd w:val="0"/>
              <w:snapToGrid w:val="0"/>
              <w:spacing w:after="180"/>
              <w:jc w:val="both"/>
              <w:textAlignment w:val="baseline"/>
              <w:rPr>
                <w:rFonts w:eastAsiaTheme="minorEastAsia"/>
              </w:rPr>
            </w:pPr>
            <w:r>
              <w:rPr>
                <w:rFonts w:eastAsia="宋体"/>
              </w:rPr>
              <w:t>The existing Rel-16 UE feature FG 9-3 for parallel transmission of MsgA and other channels for inter-band CA is shown as below.</w:t>
            </w:r>
          </w:p>
          <w:tbl>
            <w:tblPr>
              <w:tblStyle w:val="40"/>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922"/>
              <w:gridCol w:w="2428"/>
              <w:gridCol w:w="2428"/>
              <w:gridCol w:w="1469"/>
              <w:gridCol w:w="1940"/>
              <w:gridCol w:w="1885"/>
              <w:gridCol w:w="1653"/>
              <w:gridCol w:w="1653"/>
              <w:gridCol w:w="165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eastAsia="华文中宋"/>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Features</w:t>
                  </w:r>
                </w:p>
              </w:tc>
              <w:tc>
                <w:tcPr>
                  <w:tcW w:w="231"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Index</w:t>
                  </w:r>
                </w:p>
              </w:tc>
              <w:tc>
                <w:tcPr>
                  <w:tcW w:w="60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eastAsia="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 group</w:t>
                  </w:r>
                </w:p>
              </w:tc>
              <w:tc>
                <w:tcPr>
                  <w:tcW w:w="60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Components</w:t>
                  </w:r>
                </w:p>
              </w:tc>
              <w:tc>
                <w:tcPr>
                  <w:tcW w:w="36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Prerequisite feature groups</w:t>
                  </w:r>
                </w:p>
              </w:tc>
              <w:tc>
                <w:tcPr>
                  <w:tcW w:w="486"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eastAsia="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Field name in TS 38.331 [2]</w:t>
                  </w:r>
                </w:p>
              </w:tc>
              <w:tc>
                <w:tcPr>
                  <w:tcW w:w="472"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Parent IE in TS 38.331 [2]</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Need of FDD/TDD differentiation</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Need of FR1/FR2 differentiation</w:t>
                  </w:r>
                </w:p>
              </w:tc>
              <w:tc>
                <w:tcPr>
                  <w:tcW w:w="41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Note</w:t>
                  </w:r>
                </w:p>
              </w:tc>
              <w:tc>
                <w:tcPr>
                  <w:tcW w:w="540"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4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lang w:val="en-US"/>
                    </w:rPr>
                  </w:pPr>
                  <w:r>
                    <w:rPr>
                      <w:rFonts w:ascii="Times New Roman" w:hAnsi="Times New Roman" w:eastAsia="宋体"/>
                      <w:sz w:val="15"/>
                      <w:szCs w:val="15"/>
                    </w:rPr>
                    <w:t>9. NR_2step_RACH</w:t>
                  </w:r>
                </w:p>
                <w:p>
                  <w:pPr>
                    <w:pStyle w:val="110"/>
                    <w:snapToGrid w:val="0"/>
                    <w:rPr>
                      <w:rFonts w:ascii="Times New Roman" w:hAnsi="Times New Roman" w:eastAsia="华文中宋"/>
                      <w:color w:val="000000" w:themeColor="text1"/>
                      <w:sz w:val="15"/>
                      <w:szCs w:val="15"/>
                      <w14:textFill>
                        <w14:solidFill>
                          <w14:schemeClr w14:val="tx1"/>
                        </w14:solidFill>
                      </w14:textFill>
                    </w:rPr>
                  </w:pPr>
                </w:p>
              </w:tc>
              <w:tc>
                <w:tcPr>
                  <w:tcW w:w="231"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9-3</w:t>
                  </w:r>
                </w:p>
              </w:tc>
              <w:tc>
                <w:tcPr>
                  <w:tcW w:w="60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 MsgA and SRS/PUCCH/PUSCH transmissions across CCs in inter-band CA</w:t>
                  </w:r>
                </w:p>
              </w:tc>
              <w:tc>
                <w:tcPr>
                  <w:tcW w:w="60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 MsgA and SRS/PUCCH/PUSCH transmissions across CCs in inter-band CA with msgA in PCell/PScell</w:t>
                  </w:r>
                </w:p>
              </w:tc>
              <w:tc>
                <w:tcPr>
                  <w:tcW w:w="36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4-26, 9-1</w:t>
                  </w:r>
                </w:p>
              </w:tc>
              <w:tc>
                <w:tcPr>
                  <w:tcW w:w="486"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parallelTxMsgA-SRS-PUCCH-PUSCH-r16</w:t>
                  </w:r>
                </w:p>
              </w:tc>
              <w:tc>
                <w:tcPr>
                  <w:tcW w:w="472"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CA-ParametersNR-v1610</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n/a</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n/a</w:t>
                  </w:r>
                </w:p>
              </w:tc>
              <w:tc>
                <w:tcPr>
                  <w:tcW w:w="41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p>
              </w:tc>
              <w:tc>
                <w:tcPr>
                  <w:tcW w:w="540"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sz w:val="15"/>
                      <w:szCs w:val="15"/>
                    </w:rPr>
                  </w:pPr>
                  <w:r>
                    <w:rPr>
                      <w:rFonts w:ascii="Times New Roman" w:hAnsi="Times New Roman" w:eastAsia="宋体"/>
                      <w:sz w:val="15"/>
                      <w:szCs w:val="15"/>
                    </w:rPr>
                    <w:t>Optional with capability signalling</w:t>
                  </w:r>
                </w:p>
              </w:tc>
            </w:tr>
          </w:tbl>
          <w:p>
            <w:pPr>
              <w:overflowPunct w:val="0"/>
              <w:autoSpaceDE w:val="0"/>
              <w:autoSpaceDN w:val="0"/>
              <w:adjustRightInd w:val="0"/>
              <w:snapToGrid w:val="0"/>
              <w:spacing w:before="120" w:beforeLines="50" w:after="120" w:afterLines="50"/>
              <w:jc w:val="both"/>
              <w:textAlignment w:val="baseline"/>
              <w:rPr>
                <w:rFonts w:eastAsia="华文中宋"/>
                <w:sz w:val="20"/>
                <w:lang w:eastAsia="zh-CN"/>
              </w:rPr>
            </w:pPr>
            <w:r>
              <w:rPr>
                <w:rFonts w:eastAsia="宋体"/>
              </w:rPr>
              <w:t xml:space="preserve">Following the same logic, it’s reasonable to also extend parallel transmission of MsgA and other channels from inter-band CA to intra-band non-contiguous CA. As for the specific solution, it can also follow the same handling method, i.e. introduce a new Rel-17 UE feature for parallel transmission of MsgA and other channels for intra-band non-contiguous CA. </w:t>
            </w:r>
          </w:p>
          <w:p>
            <w:pPr>
              <w:overflowPunct w:val="0"/>
              <w:autoSpaceDE w:val="0"/>
              <w:autoSpaceDN w:val="0"/>
              <w:adjustRightInd w:val="0"/>
              <w:snapToGrid w:val="0"/>
              <w:spacing w:before="120" w:beforeLines="50" w:after="120" w:afterLines="50"/>
              <w:textAlignment w:val="baseline"/>
              <w:rPr>
                <w:rFonts w:eastAsia="宋体"/>
                <w:i/>
                <w:iCs/>
              </w:rPr>
            </w:pPr>
            <w:r>
              <w:rPr>
                <w:rFonts w:eastAsia="宋体"/>
                <w:b/>
                <w:bCs/>
                <w:i/>
                <w:iCs/>
              </w:rPr>
              <w:t>Proposal</w:t>
            </w:r>
            <w:r>
              <w:rPr>
                <w:b/>
                <w:bCs/>
                <w:i/>
                <w:iCs/>
              </w:rPr>
              <w:t xml:space="preserve"> </w:t>
            </w:r>
            <w:r>
              <w:rPr>
                <w:rFonts w:eastAsia="宋体"/>
                <w:b/>
                <w:bCs/>
                <w:i/>
                <w:iCs/>
              </w:rPr>
              <w:t>4</w:t>
            </w:r>
            <w:r>
              <w:rPr>
                <w:b/>
                <w:bCs/>
                <w:i/>
                <w:iCs/>
              </w:rPr>
              <w:t>:</w:t>
            </w:r>
            <w:r>
              <w:rPr>
                <w:b/>
                <w:bCs/>
              </w:rPr>
              <w:t xml:space="preserve"> </w:t>
            </w:r>
            <w:r>
              <w:rPr>
                <w:rFonts w:eastAsia="宋体"/>
                <w:i/>
                <w:iCs/>
              </w:rPr>
              <w:t>Introduce a new Rel-17 UE feature FG 39-X for support of parallel transmission between MsgA and other channels in intra-band non-contiguous CA as described below:</w:t>
            </w:r>
          </w:p>
          <w:tbl>
            <w:tblPr>
              <w:tblStyle w:val="40"/>
              <w:tblW w:w="45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1864"/>
              <w:gridCol w:w="1286"/>
              <w:gridCol w:w="1148"/>
              <w:gridCol w:w="1192"/>
              <w:gridCol w:w="1864"/>
              <w:gridCol w:w="1235"/>
              <w:gridCol w:w="1435"/>
              <w:gridCol w:w="1435"/>
              <w:gridCol w:w="1410"/>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eastAsia="华文中宋"/>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Feature group</w:t>
                  </w:r>
                </w:p>
              </w:tc>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Components</w:t>
                  </w:r>
                </w:p>
              </w:tc>
              <w:tc>
                <w:tcPr>
                  <w:tcW w:w="354"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Prerequisite feature groups</w:t>
                  </w:r>
                </w:p>
              </w:tc>
              <w:tc>
                <w:tcPr>
                  <w:tcW w:w="316"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for the gNB to know if the feature is supported</w:t>
                  </w:r>
                </w:p>
              </w:tc>
              <w:tc>
                <w:tcPr>
                  <w:tcW w:w="32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eastAsia="Gulim"/>
                      <w:color w:val="000000" w:themeColor="text1"/>
                      <w:sz w:val="15"/>
                      <w:szCs w:val="15"/>
                      <w:lang w:val="en-US"/>
                      <w14:textFill>
                        <w14:solidFill>
                          <w14:schemeClr w14:val="tx1"/>
                        </w14:solidFill>
                      </w14:textFill>
                    </w:rPr>
                    <w:t xml:space="preserve">Applicable to </w:t>
                  </w:r>
                  <w:r>
                    <w:rPr>
                      <w:rFonts w:ascii="Times New Roman" w:hAnsi="Times New Roman"/>
                      <w:color w:val="000000" w:themeColor="text1"/>
                      <w:sz w:val="15"/>
                      <w:szCs w:val="15"/>
                      <w:lang w:val="en-US"/>
                      <w14:textFill>
                        <w14:solidFill>
                          <w14:schemeClr w14:val="tx1"/>
                        </w14:solidFill>
                      </w14:textFill>
                    </w:rPr>
                    <w:t>the capability signalling exchange between UEs (Sidelink WI only)”.</w:t>
                  </w:r>
                </w:p>
              </w:tc>
              <w:tc>
                <w:tcPr>
                  <w:tcW w:w="513" w:type="pct"/>
                  <w:tcBorders>
                    <w:top w:val="single" w:color="auto" w:sz="4" w:space="0"/>
                    <w:left w:val="single" w:color="auto" w:sz="4" w:space="0"/>
                    <w:bottom w:val="single" w:color="auto" w:sz="4" w:space="0"/>
                    <w:right w:val="single" w:color="auto" w:sz="4" w:space="0"/>
                  </w:tcBorders>
                </w:tcPr>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Consequence if the feature is not supported by the UE</w:t>
                  </w:r>
                </w:p>
              </w:tc>
              <w:tc>
                <w:tcPr>
                  <w:tcW w:w="340" w:type="pct"/>
                  <w:tcBorders>
                    <w:top w:val="single" w:color="auto" w:sz="4" w:space="0"/>
                    <w:left w:val="single" w:color="auto" w:sz="4" w:space="0"/>
                    <w:bottom w:val="single" w:color="auto" w:sz="4" w:space="0"/>
                    <w:right w:val="single" w:color="auto" w:sz="4" w:space="0"/>
                  </w:tcBorders>
                </w:tcPr>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Type</w:t>
                  </w:r>
                </w:p>
                <w:p>
                  <w:pPr>
                    <w:pStyle w:val="120"/>
                    <w:snapToGrid w:val="0"/>
                    <w:ind w:left="0" w:firstLine="0"/>
                    <w:rPr>
                      <w:rFonts w:ascii="Times New Roman" w:hAnsi="Times New Roman"/>
                      <w:b/>
                      <w:color w:val="000000" w:themeColor="text1"/>
                      <w:sz w:val="15"/>
                      <w:szCs w:val="15"/>
                      <w:lang w:val="en-US"/>
                      <w14:textFill>
                        <w14:solidFill>
                          <w14:schemeClr w14:val="tx1"/>
                        </w14:solidFill>
                      </w14:textFill>
                    </w:rPr>
                  </w:pPr>
                  <w:r>
                    <w:rPr>
                      <w:rFonts w:ascii="Times New Roman" w:hAnsi="Times New Roman"/>
                      <w:b/>
                      <w:color w:val="000000" w:themeColor="text1"/>
                      <w:sz w:val="15"/>
                      <w:szCs w:val="15"/>
                      <w:lang w:val="en-US" w:eastAsia="ja-JP"/>
                      <w14:textFill>
                        <w14:solidFill>
                          <w14:schemeClr w14:val="tx1"/>
                        </w14:solidFill>
                      </w14:textFill>
                    </w:rPr>
                    <w:t>(the ‘type’ definition from UE features should be based on the granularity of 1) Per UE or 2) Per Band or 3) Per BC or 4) Per FS or 5) Per FSPC)</w:t>
                  </w:r>
                </w:p>
              </w:tc>
              <w:tc>
                <w:tcPr>
                  <w:tcW w:w="395"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of FDD/TDD differentiation</w:t>
                  </w:r>
                </w:p>
              </w:tc>
              <w:tc>
                <w:tcPr>
                  <w:tcW w:w="395"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Need of FR1/FR2 differentiation</w:t>
                  </w:r>
                </w:p>
              </w:tc>
              <w:tc>
                <w:tcPr>
                  <w:tcW w:w="388"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lang w:val="en-US"/>
                      <w14:textFill>
                        <w14:solidFill>
                          <w14:schemeClr w14:val="tx1"/>
                        </w14:solidFill>
                      </w14:textFill>
                    </w:rPr>
                  </w:pPr>
                  <w:r>
                    <w:rPr>
                      <w:rFonts w:ascii="Times New Roman" w:hAnsi="Times New Roman"/>
                      <w:color w:val="000000" w:themeColor="text1"/>
                      <w:sz w:val="15"/>
                      <w:szCs w:val="15"/>
                      <w:lang w:val="en-US"/>
                      <w14:textFill>
                        <w14:solidFill>
                          <w14:schemeClr w14:val="tx1"/>
                        </w14:solidFill>
                      </w14:textFill>
                    </w:rPr>
                    <w:t>Capability interpretation for mixture of FDD/TDD and/or FR1/FR2</w:t>
                  </w:r>
                </w:p>
              </w:tc>
              <w:tc>
                <w:tcPr>
                  <w:tcW w:w="429"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Note</w:t>
                  </w:r>
                </w:p>
              </w:tc>
              <w:tc>
                <w:tcPr>
                  <w:tcW w:w="513" w:type="pct"/>
                  <w:tcBorders>
                    <w:top w:val="single" w:color="auto" w:sz="4" w:space="0"/>
                    <w:left w:val="single" w:color="auto" w:sz="4" w:space="0"/>
                    <w:bottom w:val="single" w:color="auto" w:sz="4" w:space="0"/>
                    <w:right w:val="single" w:color="auto" w:sz="4" w:space="0"/>
                  </w:tcBorders>
                </w:tcPr>
                <w:p>
                  <w:pPr>
                    <w:pStyle w:val="78"/>
                    <w:snapToGrid w:val="0"/>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5"/>
                      <w:szCs w:val="15"/>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 xml:space="preserve">Parallel </w:t>
                  </w:r>
                  <w:r>
                    <w:rPr>
                      <w:rFonts w:ascii="Times New Roman" w:hAnsi="Times New Roman" w:eastAsia="宋体"/>
                      <w:sz w:val="15"/>
                      <w:szCs w:val="15"/>
                    </w:rPr>
                    <w:t>MsgA</w:t>
                  </w:r>
                  <w:r>
                    <w:rPr>
                      <w:rFonts w:ascii="Times New Roman" w:hAnsi="Times New Roman"/>
                      <w:sz w:val="15"/>
                      <w:szCs w:val="15"/>
                    </w:rPr>
                    <w:t xml:space="preserve"> and SRS/PUCCH/PUSCH transmissions across CCs in intra-band non-contiguous CA</w:t>
                  </w:r>
                </w:p>
              </w:tc>
              <w:tc>
                <w:tcPr>
                  <w:tcW w:w="513" w:type="pct"/>
                  <w:tcBorders>
                    <w:top w:val="single" w:color="auto" w:sz="4" w:space="0"/>
                    <w:left w:val="single" w:color="auto" w:sz="4" w:space="0"/>
                    <w:bottom w:val="single" w:color="auto" w:sz="4" w:space="0"/>
                    <w:right w:val="single" w:color="auto" w:sz="4" w:space="0"/>
                  </w:tcBorders>
                </w:tcPr>
                <w:p>
                  <w:pPr>
                    <w:snapToGrid w:val="0"/>
                    <w:rPr>
                      <w:sz w:val="15"/>
                      <w:szCs w:val="15"/>
                    </w:rPr>
                  </w:pPr>
                  <w:r>
                    <w:rPr>
                      <w:sz w:val="15"/>
                      <w:szCs w:val="15"/>
                    </w:rPr>
                    <w:t xml:space="preserve">Parallel </w:t>
                  </w:r>
                  <w:r>
                    <w:rPr>
                      <w:rFonts w:eastAsia="宋体"/>
                      <w:sz w:val="15"/>
                      <w:szCs w:val="15"/>
                    </w:rPr>
                    <w:t>MsgA</w:t>
                  </w:r>
                  <w:r>
                    <w:rPr>
                      <w:sz w:val="15"/>
                      <w:szCs w:val="15"/>
                    </w:rPr>
                    <w:t xml:space="preserve"> and SRS/PUCCH/PUSCH transmissions across CCs in intra-band non-contiguous CA</w:t>
                  </w:r>
                </w:p>
              </w:tc>
              <w:tc>
                <w:tcPr>
                  <w:tcW w:w="354"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宋体"/>
                      <w:color w:val="000000" w:themeColor="text1"/>
                      <w:sz w:val="15"/>
                      <w:szCs w:val="15"/>
                      <w14:textFill>
                        <w14:solidFill>
                          <w14:schemeClr w14:val="tx1"/>
                        </w14:solidFill>
                      </w14:textFill>
                    </w:rPr>
                  </w:pPr>
                  <w:r>
                    <w:rPr>
                      <w:rFonts w:ascii="Times New Roman" w:hAnsi="Times New Roman" w:eastAsia="宋体"/>
                      <w:color w:val="FF0000"/>
                      <w:sz w:val="15"/>
                      <w:szCs w:val="15"/>
                    </w:rPr>
                    <w:t>9-3</w:t>
                  </w:r>
                </w:p>
              </w:tc>
              <w:tc>
                <w:tcPr>
                  <w:tcW w:w="316"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eastAsia="华文中宋"/>
                      <w:i/>
                      <w:sz w:val="15"/>
                      <w:szCs w:val="15"/>
                    </w:rPr>
                  </w:pPr>
                  <w:r>
                    <w:rPr>
                      <w:rFonts w:ascii="Times New Roman" w:hAnsi="Times New Roman"/>
                      <w:i/>
                      <w:sz w:val="15"/>
                      <w:szCs w:val="15"/>
                    </w:rPr>
                    <w:t>Yes</w:t>
                  </w:r>
                </w:p>
              </w:tc>
              <w:tc>
                <w:tcPr>
                  <w:tcW w:w="32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n/a</w:t>
                  </w:r>
                </w:p>
              </w:tc>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 xml:space="preserve">UE cannot transmit parallel </w:t>
                  </w:r>
                  <w:r>
                    <w:rPr>
                      <w:rFonts w:ascii="Times New Roman" w:hAnsi="Times New Roman" w:eastAsia="宋体"/>
                      <w:sz w:val="15"/>
                      <w:szCs w:val="15"/>
                    </w:rPr>
                    <w:t>MsgA</w:t>
                  </w:r>
                  <w:r>
                    <w:rPr>
                      <w:rFonts w:ascii="Times New Roman" w:hAnsi="Times New Roman"/>
                      <w:sz w:val="15"/>
                      <w:szCs w:val="15"/>
                    </w:rPr>
                    <w:t xml:space="preserve"> and SRS/PUCCH/PUSCH transmissions across CCs in intra-band non-contiguous CA</w:t>
                  </w:r>
                </w:p>
              </w:tc>
              <w:tc>
                <w:tcPr>
                  <w:tcW w:w="340"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Per BC</w:t>
                  </w:r>
                </w:p>
              </w:tc>
              <w:tc>
                <w:tcPr>
                  <w:tcW w:w="395"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No</w:t>
                  </w:r>
                </w:p>
              </w:tc>
              <w:tc>
                <w:tcPr>
                  <w:tcW w:w="395"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Yes</w:t>
                  </w:r>
                </w:p>
              </w:tc>
              <w:tc>
                <w:tcPr>
                  <w:tcW w:w="388"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n/a</w:t>
                  </w:r>
                </w:p>
              </w:tc>
              <w:tc>
                <w:tcPr>
                  <w:tcW w:w="429"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This feature is the same as parallelTxMsgA-SRS-PUCCH-PUSCH-r16</w:t>
                  </w:r>
                </w:p>
                <w:p>
                  <w:pPr>
                    <w:pStyle w:val="110"/>
                    <w:snapToGrid w:val="0"/>
                    <w:rPr>
                      <w:rFonts w:ascii="Times New Roman" w:hAnsi="Times New Roman"/>
                      <w:sz w:val="15"/>
                      <w:szCs w:val="15"/>
                    </w:rPr>
                  </w:pPr>
                  <w:r>
                    <w:rPr>
                      <w:rFonts w:ascii="Times New Roman" w:hAnsi="Times New Roman"/>
                      <w:sz w:val="15"/>
                      <w:szCs w:val="15"/>
                    </w:rPr>
                    <w:t xml:space="preserve">, but for intra-band non-contiguous CA. </w:t>
                  </w:r>
                </w:p>
              </w:tc>
              <w:tc>
                <w:tcPr>
                  <w:tcW w:w="513" w:type="pct"/>
                  <w:tcBorders>
                    <w:top w:val="single" w:color="auto" w:sz="4" w:space="0"/>
                    <w:left w:val="single" w:color="auto" w:sz="4" w:space="0"/>
                    <w:bottom w:val="single" w:color="auto" w:sz="4" w:space="0"/>
                    <w:right w:val="single" w:color="auto" w:sz="4" w:space="0"/>
                  </w:tcBorders>
                </w:tcPr>
                <w:p>
                  <w:pPr>
                    <w:pStyle w:val="110"/>
                    <w:snapToGrid w:val="0"/>
                    <w:rPr>
                      <w:rFonts w:ascii="Times New Roman" w:hAnsi="Times New Roman"/>
                      <w:sz w:val="15"/>
                      <w:szCs w:val="15"/>
                    </w:rPr>
                  </w:pPr>
                  <w:r>
                    <w:rPr>
                      <w:rFonts w:ascii="Times New Roman" w:hAnsi="Times New Roman"/>
                      <w:sz w:val="15"/>
                      <w:szCs w:val="15"/>
                    </w:rPr>
                    <w:t>Optional with capability signaling</w:t>
                  </w:r>
                </w:p>
              </w:tc>
            </w:tr>
          </w:tbl>
          <w:p>
            <w:pPr>
              <w:overflowPunct w:val="0"/>
              <w:autoSpaceDE w:val="0"/>
              <w:autoSpaceDN w:val="0"/>
              <w:adjustRightInd w:val="0"/>
              <w:spacing w:after="180" w:line="360" w:lineRule="auto"/>
              <w:contextualSpacing/>
              <w:jc w:val="both"/>
              <w:textAlignment w:val="baseline"/>
              <w:rPr>
                <w:rFonts w:eastAsiaTheme="minorEastAsia"/>
                <w:sz w:val="22"/>
                <w:szCs w:val="22"/>
              </w:rPr>
            </w:pP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2-2:</w:t>
      </w:r>
    </w:p>
    <w:p>
      <w:pPr>
        <w:pStyle w:val="91"/>
        <w:numPr>
          <w:ilvl w:val="0"/>
          <w:numId w:val="12"/>
        </w:numPr>
        <w:spacing w:after="120" w:afterLines="50"/>
        <w:ind w:leftChars="0"/>
        <w:jc w:val="both"/>
        <w:rPr>
          <w:sz w:val="22"/>
          <w:lang w:val="en-US"/>
        </w:rPr>
      </w:pPr>
      <w:r>
        <w:rPr>
          <w:b/>
          <w:bCs/>
          <w:szCs w:val="24"/>
          <w:lang w:val="en-US"/>
        </w:rPr>
        <w:t>Introduce a new FG for Parallel MsgA and SRS/PUCCH/PUSCH transmissions across CCs in intra-band non-contiguous CA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3</w:t>
            </w:r>
            <w:r>
              <w:rPr>
                <w:rFonts w:eastAsia="ＭＳ 明朝" w:asciiTheme="majorHAnsi" w:hAnsiTheme="majorHAnsi" w:cstheme="majorHAnsi"/>
                <w:szCs w:val="18"/>
                <w:lang w:eastAsia="ja-JP"/>
              </w:rPr>
              <w:t>9-X</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Parallel MsgA and SRS/PUCCH/PUSCH transmissions across CCs in intra-band non-contiguous CA</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Parallel MsgA and SRS/PUCCH/PUSCH transmissions across CCs in intra-band non-contiguous CA</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highlight w:val="yellow"/>
                <w:lang w:eastAsia="ja-JP"/>
              </w:rPr>
            </w:pPr>
            <w:r>
              <w:rPr>
                <w:rFonts w:hint="eastAsia" w:eastAsia="ＭＳ 明朝" w:asciiTheme="majorHAnsi" w:hAnsiTheme="majorHAnsi" w:cstheme="majorHAnsi"/>
                <w:szCs w:val="18"/>
                <w:lang w:eastAsia="ja-JP"/>
              </w:rPr>
              <w:t>9</w:t>
            </w:r>
            <w:r>
              <w:rPr>
                <w:rFonts w:eastAsia="ＭＳ 明朝" w:asciiTheme="majorHAnsi" w:hAnsiTheme="majorHAnsi" w:cstheme="majorHAnsi"/>
                <w:szCs w:val="18"/>
                <w:lang w:eastAsia="ja-JP"/>
              </w:rPr>
              <w:t>-3</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eastAsia="ＭＳ 明朝"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UE cannot transmit parallel MsgA and SRS/PUCCH/PUSCH transmissions across CCs in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P</w:t>
            </w:r>
            <w:r>
              <w:rPr>
                <w:rFonts w:eastAsia="ＭＳ 明朝"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o</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Y</w:t>
            </w:r>
            <w:r>
              <w:rPr>
                <w:rFonts w:eastAsia="ＭＳ 明朝" w:asciiTheme="majorHAnsi" w:hAnsiTheme="majorHAnsi" w:cstheme="majorHAnsi"/>
                <w:szCs w:val="18"/>
                <w:lang w:eastAsia="ja-JP"/>
              </w:rPr>
              <w:t>es</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n</w:t>
            </w:r>
            <w:r>
              <w:rPr>
                <w:rFonts w:eastAsia="ＭＳ 明朝"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 xml:space="preserve">This feature is the same as </w:t>
            </w:r>
            <w:r>
              <w:rPr>
                <w:rFonts w:asciiTheme="majorHAnsi" w:hAnsiTheme="majorHAnsi" w:cstheme="majorHAnsi"/>
                <w:i/>
                <w:iCs/>
                <w:szCs w:val="18"/>
              </w:rPr>
              <w:t>parallelTxMsgA-SRS-PUCCH-PUSCH-r16</w:t>
            </w:r>
            <w:r>
              <w:rPr>
                <w:rFonts w:asciiTheme="majorHAnsi" w:hAnsiTheme="majorHAnsi" w:cstheme="majorHAnsi"/>
                <w:szCs w:val="18"/>
              </w:rPr>
              <w:t>, but for intra-band non-contiguous CA.</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There was similar discussion in AI 7.2.1. We suggest to wait the progress before we make the decision for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support the proposal.</w:t>
            </w:r>
          </w:p>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Regarding Intel</w:t>
            </w:r>
            <w:r>
              <w:rPr>
                <w:rFonts w:eastAsia="宋体"/>
                <w:szCs w:val="21"/>
                <w:lang w:val="en-US" w:eastAsia="zh-CN"/>
              </w:rPr>
              <w:t>’</w:t>
            </w:r>
            <w:r>
              <w:rPr>
                <w:rFonts w:hint="eastAsia" w:eastAsia="宋体"/>
                <w:szCs w:val="21"/>
                <w:lang w:val="en-US" w:eastAsia="zh-CN"/>
              </w:rPr>
              <w:t>s comment to wait for 7.2.1 discussion, it</w:t>
            </w:r>
            <w:r>
              <w:rPr>
                <w:rFonts w:eastAsia="宋体"/>
                <w:szCs w:val="21"/>
                <w:lang w:val="en-US" w:eastAsia="zh-CN"/>
              </w:rPr>
              <w:t>’</w:t>
            </w:r>
            <w:r>
              <w:rPr>
                <w:rFonts w:hint="eastAsia" w:eastAsia="宋体"/>
                <w:szCs w:val="21"/>
                <w:lang w:val="en-US" w:eastAsia="zh-CN"/>
              </w:rPr>
              <w:t>s not needed, because the discussion in 7.2.1 is focusing on whether and how to capture the UE</w:t>
            </w:r>
            <w:r>
              <w:rPr>
                <w:rFonts w:eastAsia="宋体"/>
                <w:szCs w:val="21"/>
                <w:lang w:val="en-US" w:eastAsia="zh-CN"/>
              </w:rPr>
              <w:t>’</w:t>
            </w:r>
            <w:r>
              <w:rPr>
                <w:rFonts w:hint="eastAsia" w:eastAsia="宋体"/>
                <w:szCs w:val="21"/>
                <w:lang w:val="en-US" w:eastAsia="zh-CN"/>
              </w:rPr>
              <w:t>s behavior in Rel-16 TS 38.214 spec based on existing Rel-16 UE feature, and this proposal is to introduce new Rel-17 UE feature for intra-band non-contiguous CA, these are separate issues without any dependencies. In addition, if this Rel-17 UE feature is introduced, we can further discuss how to capture the impact of this Rel-17 UE feature on Rel-17 spec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Nokia, NSB</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Unclear why this new FG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further explanation on why the proposed new FG is needed should be provided, otherwise there may be no consensus to introduce the proposed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hint="eastAsia" w:eastAsia="宋体"/>
                <w:szCs w:val="21"/>
                <w:lang w:val="en-US" w:eastAsia="zh-CN"/>
              </w:rPr>
            </w:pPr>
            <w:r>
              <w:rPr>
                <w:rFonts w:hint="eastAsia" w:eastAsia="宋体"/>
                <w:szCs w:val="21"/>
                <w:lang w:val="en-US" w:eastAsia="zh-CN"/>
              </w:rPr>
              <w:t>Please find ZTE</w:t>
            </w:r>
            <w:r>
              <w:rPr>
                <w:rFonts w:hint="default" w:eastAsia="宋体"/>
                <w:szCs w:val="21"/>
                <w:lang w:val="en-US" w:eastAsia="zh-CN"/>
              </w:rPr>
              <w:t>’</w:t>
            </w:r>
            <w:r>
              <w:rPr>
                <w:rFonts w:hint="eastAsia" w:eastAsia="宋体"/>
                <w:szCs w:val="21"/>
                <w:lang w:val="en-US" w:eastAsia="zh-CN"/>
              </w:rPr>
              <w:t>s explanation below:</w:t>
            </w:r>
          </w:p>
          <w:p>
            <w:pPr>
              <w:overflowPunct w:val="0"/>
              <w:autoSpaceDE w:val="0"/>
              <w:autoSpaceDN w:val="0"/>
              <w:adjustRightInd w:val="0"/>
              <w:spacing w:after="180"/>
              <w:textAlignment w:val="baseline"/>
              <w:rPr>
                <w:rFonts w:hint="eastAsia" w:eastAsia="宋体"/>
                <w:szCs w:val="21"/>
                <w:lang w:val="en-US" w:eastAsia="zh-CN"/>
              </w:rPr>
            </w:pPr>
            <w:r>
              <w:rPr>
                <w:rFonts w:hint="eastAsia" w:eastAsia="宋体"/>
                <w:szCs w:val="21"/>
                <w:lang w:val="en-US" w:eastAsia="zh-CN"/>
              </w:rPr>
              <w:t>In Rel-15/16, we have 3 FGs regarding the parallel transmission for SRS and other channels, PRACH and other channels, MsgA and other channels respectively as shown below, and these FGs are for inter-band CA case.</w:t>
            </w:r>
          </w:p>
          <w:p>
            <w:pPr>
              <w:overflowPunct w:val="0"/>
              <w:autoSpaceDE w:val="0"/>
              <w:autoSpaceDN w:val="0"/>
              <w:adjustRightInd w:val="0"/>
              <w:spacing w:after="180"/>
              <w:textAlignment w:val="baseline"/>
            </w:pPr>
            <w:r>
              <w:rPr>
                <w:rFonts w:hint="eastAsia" w:eastAsia="宋体"/>
                <w:szCs w:val="21"/>
                <w:lang w:val="en-US" w:eastAsia="zh-CN"/>
              </w:rPr>
              <w:t xml:space="preserve">FG 4-25 </w:t>
            </w:r>
            <w:r>
              <w:t>Parallel SRS and PUCCH/PUSCH transmission across CCs in inter-band CA</w:t>
            </w:r>
          </w:p>
          <w:p>
            <w:pPr>
              <w:overflowPunct w:val="0"/>
              <w:autoSpaceDE w:val="0"/>
              <w:autoSpaceDN w:val="0"/>
              <w:adjustRightInd w:val="0"/>
              <w:spacing w:after="180"/>
              <w:textAlignment w:val="baseline"/>
            </w:pPr>
            <w:r>
              <w:rPr>
                <w:rFonts w:hint="eastAsia" w:eastAsia="宋体"/>
                <w:lang w:val="en-US" w:eastAsia="zh-CN"/>
              </w:rPr>
              <w:t xml:space="preserve">FG 4-26 </w:t>
            </w:r>
            <w:r>
              <w:t>Parallel PRACH and SRS/PUCCH/PUSCH transmissions across CCs in inter-band CA</w:t>
            </w:r>
          </w:p>
          <w:p>
            <w:pPr>
              <w:overflowPunct w:val="0"/>
              <w:autoSpaceDE w:val="0"/>
              <w:autoSpaceDN w:val="0"/>
              <w:adjustRightInd w:val="0"/>
              <w:spacing w:after="180"/>
              <w:textAlignment w:val="baseline"/>
              <w:rPr>
                <w:rFonts w:eastAsia="宋体"/>
                <w:lang w:eastAsia="zh-CN"/>
              </w:rPr>
            </w:pPr>
            <w:r>
              <w:rPr>
                <w:rFonts w:hint="eastAsia" w:eastAsia="宋体"/>
                <w:lang w:val="en-US" w:eastAsia="zh-CN"/>
              </w:rPr>
              <w:t xml:space="preserve">FG 9-3 </w:t>
            </w:r>
            <w:r>
              <w:rPr>
                <w:rFonts w:eastAsia="宋体"/>
                <w:lang w:eastAsia="zh-CN"/>
              </w:rPr>
              <w:t>Parallel MsgA and SRS/PUCCH/PUSCH transmissions across CCs in inter-band CA</w:t>
            </w:r>
          </w:p>
          <w:p>
            <w:pPr>
              <w:overflowPunct w:val="0"/>
              <w:autoSpaceDE w:val="0"/>
              <w:autoSpaceDN w:val="0"/>
              <w:adjustRightInd w:val="0"/>
              <w:spacing w:after="180"/>
              <w:textAlignment w:val="baseline"/>
              <w:rPr>
                <w:rFonts w:hint="eastAsia" w:eastAsia="宋体"/>
                <w:lang w:val="en-US" w:eastAsia="zh-CN"/>
              </w:rPr>
            </w:pPr>
            <w:r>
              <w:rPr>
                <w:rFonts w:hint="eastAsia" w:eastAsia="宋体"/>
                <w:lang w:val="en-US" w:eastAsia="zh-CN"/>
              </w:rPr>
              <w:t>While in last meeting, after discussion in AI 7.1, it</w:t>
            </w:r>
            <w:r>
              <w:rPr>
                <w:rFonts w:hint="default" w:eastAsia="宋体"/>
                <w:lang w:val="en-US" w:eastAsia="zh-CN"/>
              </w:rPr>
              <w:t>’</w:t>
            </w:r>
            <w:r>
              <w:rPr>
                <w:rFonts w:hint="eastAsia" w:eastAsia="宋体"/>
                <w:lang w:val="en-US" w:eastAsia="zh-CN"/>
              </w:rPr>
              <w:t>s observed that intra-band non-contiguous CA case is similar as inter band CA case, so the first 2 FGs are extended from inter-band CA to intra-band non-contiguous CA by introducing 2 new Rel-17 FGs as shown below. However, the third FG happens  to be missing from such extension although FG 9-3 is a similar case as FG 4-25 and FG 4-26.</w:t>
            </w:r>
          </w:p>
          <w:p>
            <w:pPr>
              <w:overflowPunct w:val="0"/>
              <w:autoSpaceDE w:val="0"/>
              <w:autoSpaceDN w:val="0"/>
              <w:adjustRightInd w:val="0"/>
              <w:spacing w:after="180"/>
              <w:textAlignment w:val="baseline"/>
              <w:rPr>
                <w:rFonts w:hint="default" w:eastAsia="宋体"/>
                <w:lang w:val="en-US" w:eastAsia="zh-CN"/>
              </w:rPr>
            </w:pPr>
            <w:r>
              <w:rPr>
                <w:rFonts w:hint="eastAsia" w:eastAsia="宋体"/>
                <w:szCs w:val="21"/>
                <w:lang w:val="en-US" w:eastAsia="zh-CN"/>
              </w:rPr>
              <w:t xml:space="preserve">FG 4-25 </w:t>
            </w:r>
            <w:r>
              <w:t xml:space="preserve">Parallel SRS and PUCCH/PUSCH transmission across CCs </w:t>
            </w:r>
            <w:r>
              <w:rPr>
                <w:highlight w:val="yellow"/>
              </w:rPr>
              <w:t>in inter-band CA</w:t>
            </w:r>
            <w:r>
              <w:rPr>
                <w:rFonts w:hint="eastAsia" w:eastAsia="宋体"/>
                <w:lang w:val="en-US" w:eastAsia="zh-CN"/>
              </w:rPr>
              <w:t xml:space="preserve">   ---&gt; FG 39-1 Parallel SRS and PUCCH/PUSCH transmission across CCs </w:t>
            </w:r>
            <w:r>
              <w:rPr>
                <w:rFonts w:hint="eastAsia" w:eastAsia="宋体"/>
                <w:highlight w:val="yellow"/>
                <w:lang w:val="en-US" w:eastAsia="zh-CN"/>
              </w:rPr>
              <w:t>in intra-band non-contiguous CA</w:t>
            </w:r>
          </w:p>
          <w:p>
            <w:pPr>
              <w:overflowPunct w:val="0"/>
              <w:autoSpaceDE w:val="0"/>
              <w:autoSpaceDN w:val="0"/>
              <w:adjustRightInd w:val="0"/>
              <w:spacing w:after="180"/>
              <w:textAlignment w:val="baseline"/>
              <w:rPr>
                <w:rFonts w:hint="default" w:eastAsia="宋体"/>
                <w:highlight w:val="yellow"/>
                <w:lang w:val="en-US" w:eastAsia="zh-CN"/>
              </w:rPr>
            </w:pPr>
            <w:r>
              <w:rPr>
                <w:rFonts w:hint="eastAsia" w:eastAsia="宋体"/>
                <w:lang w:val="en-US" w:eastAsia="zh-CN"/>
              </w:rPr>
              <w:t xml:space="preserve">FG 4-26 </w:t>
            </w:r>
            <w:r>
              <w:t xml:space="preserve">Parallel PRACH and SRS/PUCCH/PUSCH transmissions across CCs </w:t>
            </w:r>
            <w:r>
              <w:rPr>
                <w:highlight w:val="yellow"/>
              </w:rPr>
              <w:t>in inter-band CA</w:t>
            </w:r>
            <w:r>
              <w:rPr>
                <w:rFonts w:hint="eastAsia" w:eastAsia="宋体"/>
                <w:lang w:val="en-US" w:eastAsia="zh-CN"/>
              </w:rPr>
              <w:t xml:space="preserve">  ---&gt; FG 39-2 Parallel PRACH and SRS/PUCCH/PUSCH transmissions across CCs </w:t>
            </w:r>
            <w:r>
              <w:rPr>
                <w:rFonts w:hint="eastAsia" w:eastAsia="宋体"/>
                <w:highlight w:val="yellow"/>
                <w:lang w:val="en-US" w:eastAsia="zh-CN"/>
              </w:rPr>
              <w:t>in intra-band non-contiguous CA</w:t>
            </w:r>
          </w:p>
          <w:p>
            <w:pPr>
              <w:overflowPunct w:val="0"/>
              <w:autoSpaceDE w:val="0"/>
              <w:autoSpaceDN w:val="0"/>
              <w:adjustRightInd w:val="0"/>
              <w:spacing w:after="180"/>
              <w:textAlignment w:val="baseline"/>
              <w:rPr>
                <w:rFonts w:hint="default" w:eastAsia="宋体"/>
                <w:lang w:val="en-US" w:eastAsia="zh-CN"/>
              </w:rPr>
            </w:pPr>
            <w:r>
              <w:rPr>
                <w:rFonts w:hint="eastAsia" w:eastAsia="宋体"/>
                <w:lang w:val="en-US" w:eastAsia="zh-CN"/>
              </w:rPr>
              <w:t xml:space="preserve">FG 9-3 </w:t>
            </w:r>
            <w:r>
              <w:rPr>
                <w:rFonts w:eastAsia="宋体"/>
                <w:lang w:eastAsia="zh-CN"/>
              </w:rPr>
              <w:t xml:space="preserve">Parallel MsgA and SRS/PUCCH/PUSCH transmissions across CCs </w:t>
            </w:r>
            <w:r>
              <w:rPr>
                <w:rFonts w:eastAsia="宋体"/>
                <w:highlight w:val="yellow"/>
                <w:lang w:eastAsia="zh-CN"/>
              </w:rPr>
              <w:t>in inter-band CA</w:t>
            </w:r>
            <w:r>
              <w:rPr>
                <w:rFonts w:hint="eastAsia" w:eastAsia="宋体"/>
                <w:lang w:val="en-US" w:eastAsia="zh-CN"/>
              </w:rPr>
              <w:t xml:space="preserve">  ---&gt; ???</w:t>
            </w:r>
          </w:p>
          <w:p>
            <w:pPr>
              <w:overflowPunct w:val="0"/>
              <w:autoSpaceDE w:val="0"/>
              <w:autoSpaceDN w:val="0"/>
              <w:adjustRightInd w:val="0"/>
              <w:spacing w:after="180"/>
              <w:textAlignment w:val="baseline"/>
              <w:rPr>
                <w:rFonts w:hint="default" w:eastAsia="宋体"/>
                <w:lang w:val="en-US" w:eastAsia="zh-CN"/>
              </w:rPr>
            </w:pPr>
            <w:r>
              <w:rPr>
                <w:rFonts w:hint="eastAsia" w:eastAsia="宋体"/>
                <w:lang w:val="en-US" w:eastAsia="zh-CN"/>
              </w:rPr>
              <w:t>Therefore, it</w:t>
            </w:r>
            <w:r>
              <w:rPr>
                <w:rFonts w:hint="default" w:eastAsia="宋体"/>
                <w:lang w:val="en-US" w:eastAsia="zh-CN"/>
              </w:rPr>
              <w:t>’</w:t>
            </w:r>
            <w:r>
              <w:rPr>
                <w:rFonts w:hint="eastAsia" w:eastAsia="宋体"/>
                <w:lang w:val="en-US" w:eastAsia="zh-CN"/>
              </w:rPr>
              <w:t>s obvious that the parallel transmission of MsgA and other channels should also be extended from inter-band CA to intra-band non-contiguous CA by introducing a new Rel-17 FG 39-x as in the proposal, otherwise, there would be imbalance for these 3 parallel transmission FGs, i.e. only parallel transmission of MsgA and other channel doesn</w:t>
            </w:r>
            <w:r>
              <w:rPr>
                <w:rFonts w:hint="default" w:eastAsia="宋体"/>
                <w:lang w:val="en-US" w:eastAsia="zh-CN"/>
              </w:rPr>
              <w:t>’</w:t>
            </w:r>
            <w:r>
              <w:rPr>
                <w:rFonts w:hint="eastAsia" w:eastAsia="宋体"/>
                <w:lang w:val="en-US" w:eastAsia="zh-CN"/>
              </w:rPr>
              <w:t>t support intra-band non-contiguous CA.</w:t>
            </w:r>
            <w:bookmarkStart w:id="4" w:name="_GoBack"/>
            <w:bookmarkEnd w:id="4"/>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ＭＳ 明朝"/>
          <w:b/>
          <w:bCs/>
          <w:szCs w:val="24"/>
          <w:lang w:val="en-US"/>
        </w:rPr>
      </w:pPr>
      <w:r>
        <w:rPr>
          <w:rFonts w:eastAsia="ＭＳ 明朝"/>
          <w:b/>
          <w:bCs/>
          <w:szCs w:val="24"/>
          <w:lang w:val="en-US"/>
        </w:rPr>
        <w:t>Conclusions</w:t>
      </w:r>
    </w:p>
    <w:p>
      <w:pPr>
        <w:jc w:val="both"/>
      </w:pPr>
      <w:r>
        <w:t>TBD</w:t>
      </w:r>
    </w:p>
    <w:p>
      <w:pPr>
        <w:spacing w:after="120" w:afterLines="50"/>
        <w:jc w:val="both"/>
        <w:rPr>
          <w:sz w:val="22"/>
          <w:lang w:val="en-US"/>
        </w:rPr>
      </w:pPr>
    </w:p>
    <w:p>
      <w:pPr>
        <w:pStyle w:val="2"/>
        <w:spacing w:before="180" w:after="120"/>
        <w:rPr>
          <w:rFonts w:eastAsia="ＭＳ 明朝"/>
          <w:b/>
          <w:bCs/>
          <w:szCs w:val="24"/>
          <w:lang w:val="en-US"/>
        </w:rPr>
      </w:pPr>
      <w:r>
        <w:rPr>
          <w:rFonts w:eastAsia="ＭＳ 明朝"/>
          <w:b/>
          <w:bCs/>
          <w:szCs w:val="24"/>
          <w:lang w:val="en-US"/>
        </w:rPr>
        <w:t>References</w:t>
      </w:r>
    </w:p>
    <w:p>
      <w:pPr>
        <w:spacing w:after="120" w:afterLines="50"/>
        <w:jc w:val="both"/>
        <w:rPr>
          <w:rFonts w:eastAsia="ＭＳ 明朝"/>
          <w:sz w:val="22"/>
        </w:rPr>
      </w:pPr>
      <w:bookmarkStart w:id="3" w:name="_Hlk87147818"/>
      <w:r>
        <w:rPr>
          <w:rFonts w:hint="eastAsia" w:eastAsia="ＭＳ 明朝"/>
          <w:sz w:val="22"/>
        </w:rPr>
        <w:t>[1]</w:t>
      </w:r>
      <w:r>
        <w:rPr>
          <w:rFonts w:eastAsia="ＭＳ 明朝"/>
          <w:sz w:val="22"/>
        </w:rPr>
        <w:tab/>
      </w:r>
      <w:r>
        <w:rPr>
          <w:rFonts w:eastAsia="ＭＳ 明朝"/>
          <w:sz w:val="22"/>
        </w:rPr>
        <w:t>R1-2205608</w:t>
      </w:r>
      <w:r>
        <w:rPr>
          <w:rFonts w:eastAsia="ＭＳ 明朝"/>
          <w:sz w:val="22"/>
        </w:rPr>
        <w:tab/>
      </w:r>
      <w:r>
        <w:rPr>
          <w:rFonts w:hint="eastAsia" w:eastAsia="ＭＳ 明朝"/>
          <w:sz w:val="22"/>
        </w:rPr>
        <w:t>Updated RAN1 UE features list for Rel-17 NR after RAN1 #10</w:t>
      </w:r>
      <w:r>
        <w:rPr>
          <w:rFonts w:eastAsia="ＭＳ 明朝"/>
          <w:sz w:val="22"/>
        </w:rPr>
        <w:t>9</w:t>
      </w:r>
      <w:r>
        <w:rPr>
          <w:rFonts w:hint="eastAsia" w:eastAsia="ＭＳ 明朝"/>
          <w:sz w:val="22"/>
        </w:rPr>
        <w:t>-e</w:t>
      </w:r>
      <w:r>
        <w:rPr>
          <w:rFonts w:eastAsia="ＭＳ 明朝"/>
          <w:sz w:val="22"/>
        </w:rPr>
        <w:t xml:space="preserve"> </w:t>
      </w:r>
      <w:r>
        <w:rPr>
          <w:rFonts w:hint="eastAsia" w:eastAsia="ＭＳ 明朝"/>
          <w:sz w:val="22"/>
        </w:rPr>
        <w:t>including remaining RAN1 issues</w:t>
      </w:r>
      <w:r>
        <w:rPr>
          <w:rFonts w:eastAsia="ＭＳ 明朝"/>
          <w:sz w:val="22"/>
        </w:rPr>
        <w:tab/>
      </w:r>
      <w:r>
        <w:rPr>
          <w:rFonts w:eastAsia="ＭＳ 明朝"/>
          <w:sz w:val="22"/>
        </w:rPr>
        <w:t>Moderators (AT&amp;T, NTT DOCOMO, INC.)</w:t>
      </w:r>
      <w:bookmarkEnd w:id="3"/>
    </w:p>
    <w:p>
      <w:pPr>
        <w:spacing w:after="120" w:afterLines="50"/>
        <w:jc w:val="both"/>
        <w:rPr>
          <w:rFonts w:eastAsia="ＭＳ 明朝"/>
          <w:sz w:val="22"/>
        </w:rPr>
      </w:pPr>
      <w:r>
        <w:rPr>
          <w:rFonts w:eastAsia="ＭＳ 明朝"/>
          <w:sz w:val="22"/>
        </w:rPr>
        <w:t>[2]</w:t>
      </w:r>
      <w:r>
        <w:rPr>
          <w:rFonts w:eastAsia="ＭＳ 明朝"/>
          <w:sz w:val="22"/>
        </w:rPr>
        <w:tab/>
      </w:r>
      <w:r>
        <w:rPr>
          <w:rFonts w:eastAsia="ＭＳ 明朝"/>
          <w:sz w:val="22"/>
        </w:rPr>
        <w:t>R1-2205914</w:t>
      </w:r>
      <w:r>
        <w:rPr>
          <w:rFonts w:eastAsia="ＭＳ 明朝"/>
          <w:sz w:val="22"/>
        </w:rPr>
        <w:tab/>
      </w:r>
      <w:r>
        <w:rPr>
          <w:rFonts w:eastAsia="ＭＳ 明朝"/>
          <w:sz w:val="22"/>
        </w:rPr>
        <w:t>Discussion on some remaining issues of Rel-17 UE features</w:t>
      </w:r>
      <w:r>
        <w:rPr>
          <w:rFonts w:eastAsia="ＭＳ 明朝"/>
          <w:sz w:val="22"/>
        </w:rPr>
        <w:tab/>
      </w:r>
      <w:r>
        <w:rPr>
          <w:rFonts w:eastAsia="ＭＳ 明朝"/>
          <w:sz w:val="22"/>
        </w:rPr>
        <w:t>ZTE</w:t>
      </w:r>
      <w:r>
        <w:rPr>
          <w:rFonts w:hint="eastAsia" w:eastAsia="ＭＳ 明朝"/>
          <w:sz w:val="22"/>
        </w:rPr>
        <w:t xml:space="preserve"> </w:t>
      </w:r>
    </w:p>
    <w:p>
      <w:pPr>
        <w:spacing w:after="120" w:afterLines="50"/>
        <w:jc w:val="both"/>
        <w:rPr>
          <w:rFonts w:eastAsia="ＭＳ 明朝"/>
          <w:sz w:val="22"/>
        </w:rPr>
      </w:pPr>
      <w:r>
        <w:rPr>
          <w:rFonts w:hint="eastAsia" w:eastAsia="ＭＳ 明朝"/>
          <w:sz w:val="22"/>
        </w:rPr>
        <w:t>[</w:t>
      </w:r>
      <w:r>
        <w:rPr>
          <w:rFonts w:eastAsia="ＭＳ 明朝"/>
          <w:sz w:val="22"/>
        </w:rPr>
        <w:t>3]</w:t>
      </w:r>
      <w:r>
        <w:rPr>
          <w:rFonts w:eastAsia="ＭＳ 明朝"/>
          <w:sz w:val="22"/>
        </w:rPr>
        <w:tab/>
      </w:r>
      <w:r>
        <w:rPr>
          <w:rFonts w:eastAsia="ＭＳ 明朝"/>
          <w:sz w:val="22"/>
        </w:rPr>
        <w:t>R1-2207392</w:t>
      </w:r>
      <w:r>
        <w:rPr>
          <w:rFonts w:eastAsia="ＭＳ 明朝"/>
          <w:sz w:val="22"/>
        </w:rPr>
        <w:tab/>
      </w:r>
      <w:r>
        <w:rPr>
          <w:rFonts w:eastAsia="ＭＳ 明朝"/>
          <w:sz w:val="22"/>
        </w:rPr>
        <w:t>Discussion on remaining issues in RAN1 UE features list for Rel-17 NR</w:t>
      </w:r>
      <w:r>
        <w:rPr>
          <w:rFonts w:eastAsia="ＭＳ 明朝"/>
          <w:sz w:val="22"/>
        </w:rPr>
        <w:tab/>
      </w:r>
      <w:r>
        <w:rPr>
          <w:rFonts w:eastAsia="ＭＳ 明朝"/>
          <w:sz w:val="22"/>
        </w:rPr>
        <w:t>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 탕">
    <w:altName w:val="Segoe Print"/>
    <w:panose1 w:val="00000000000000000000"/>
    <w:charset w:val="00"/>
    <w:family w:val="auto"/>
    <w:pitch w:val="default"/>
    <w:sig w:usb0="00000000" w:usb1="00000000" w:usb2="00000000" w:usb3="00000000" w:csb0="00000000" w:csb1="00000000"/>
  </w:font>
  <w:font w:name="Yu Gothic">
    <w:panose1 w:val="020B0400000000000000"/>
    <w:charset w:val="80"/>
    <w:family w:val="modern"/>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lim">
    <w:altName w:val="Malgun Gothic"/>
    <w:panose1 w:val="020B0600000101010101"/>
    <w:charset w:val="81"/>
    <w:family w:val="swiss"/>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16</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83</w:t>
    </w:r>
    <w:r>
      <w:rPr>
        <w:rStyle w:val="43"/>
        <w:rFonts w:eastAsia="MS Gothic"/>
      </w:rPr>
      <w:fldChar w:fldCharType="end"/>
    </w:r>
    <w:r>
      <w:rPr>
        <w:rStyle w:val="43"/>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3">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4">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A25E34"/>
    <w:multiLevelType w:val="multilevel"/>
    <w:tmpl w:val="52A25E34"/>
    <w:lvl w:ilvl="0" w:tentative="0">
      <w:start w:val="1"/>
      <w:numFmt w:val="bullet"/>
      <w:lvlText w:val="-"/>
      <w:lvlJc w:val="left"/>
      <w:pPr>
        <w:ind w:left="720" w:hanging="360"/>
      </w:pPr>
      <w:rPr>
        <w:rFonts w:hint="default" w:ascii="Times" w:hAnsi="Times" w:eastAsia="바 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8">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7"/>
  </w:num>
  <w:num w:numId="4">
    <w:abstractNumId w:val="10"/>
  </w:num>
  <w:num w:numId="5">
    <w:abstractNumId w:val="1"/>
  </w:num>
  <w:num w:numId="6">
    <w:abstractNumId w:val="11"/>
  </w:num>
  <w:num w:numId="7">
    <w:abstractNumId w:val="4"/>
  </w:num>
  <w:num w:numId="8">
    <w:abstractNumId w:val="3"/>
  </w:num>
  <w:num w:numId="9">
    <w:abstractNumId w:val="9"/>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2D2"/>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3C8"/>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56"/>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A97"/>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E01"/>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674"/>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0DD"/>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059"/>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12"/>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37"/>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AD4"/>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B39"/>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2DC"/>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64F"/>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FE1C92"/>
    <w:rsid w:val="142E3ED4"/>
    <w:rsid w:val="19B1AAEB"/>
    <w:rsid w:val="1C60F166"/>
    <w:rsid w:val="1CE263F7"/>
    <w:rsid w:val="1EC8E40D"/>
    <w:rsid w:val="3B51EF62"/>
    <w:rsid w:val="4871AAB3"/>
    <w:rsid w:val="50830849"/>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99"/>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ＭＳ 明朝"/>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ヘッダー (文字)"/>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after="160" w:line="240" w:lineRule="atLeast"/>
      <w:jc w:val="right"/>
    </w:pPr>
    <w:rPr>
      <w:rFonts w:ascii="Arial" w:hAnsi="Arial" w:eastAsia="ＭＳ 明朝"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吹き出し (文字)"/>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71">
    <w:name w:val="コメント文字列 (文字)"/>
    <w:basedOn w:val="42"/>
    <w:link w:val="16"/>
    <w:qFormat/>
    <w:uiPriority w:val="99"/>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5">
    <w:name w:val="コメント内容 (文字)"/>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6">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ＭＳ 明朝"/>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ＭＳ 明朝"/>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リスト段落 (文字)"/>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ＭＳ 明朝"/>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記 (文字)"/>
    <w:basedOn w:val="42"/>
    <w:link w:val="12"/>
    <w:qFormat/>
    <w:uiPriority w:val="0"/>
    <w:rPr>
      <w:rFonts w:ascii="Times New Roman" w:hAnsi="Times New Roman" w:eastAsia="MS Gothic"/>
      <w:b/>
      <w:color w:val="FF0000"/>
      <w:sz w:val="24"/>
      <w:szCs w:val="21"/>
    </w:rPr>
  </w:style>
  <w:style w:type="character" w:customStyle="1" w:styleId="97">
    <w:name w:val="結語 (文字)"/>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ＭＳ 明朝"/>
      <w:lang w:val="en-GB" w:eastAsia="en-US" w:bidi="ar-SA"/>
    </w:rPr>
  </w:style>
  <w:style w:type="paragraph" w:customStyle="1" w:styleId="99">
    <w:name w:val="3GPP Normal Text"/>
    <w:basedOn w:val="19"/>
    <w:link w:val="100"/>
    <w:qFormat/>
    <w:uiPriority w:val="0"/>
    <w:pPr>
      <w:ind w:left="720" w:hanging="720"/>
      <w:jc w:val="both"/>
    </w:pPr>
    <w:rPr>
      <w:rFonts w:eastAsia="ＭＳ 明朝"/>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line="259" w:lineRule="auto"/>
    </w:pPr>
    <w:rPr>
      <w:rFonts w:ascii="Arial" w:hAnsi="Arial" w:eastAsia="ＭＳ 明朝"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ＭＳ 明朝"/>
      <w:sz w:val="18"/>
      <w:lang w:val="en-GB" w:eastAsia="en-US"/>
    </w:rPr>
  </w:style>
  <w:style w:type="character" w:customStyle="1" w:styleId="141">
    <w:name w:val="見出し 1 (文字)"/>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書式付き (文字)"/>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見出し 2 (文字)"/>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ＭＳ 明朝"/>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見出し 3 (文字)"/>
    <w:basedOn w:val="42"/>
    <w:link w:val="4"/>
    <w:qFormat/>
    <w:uiPriority w:val="0"/>
    <w:rPr>
      <w:rFonts w:ascii="Arial" w:hAnsi="Arial" w:eastAsia="MS Gothic"/>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datastoreItem>
</file>

<file path=customXml/itemProps3.xml><?xml version="1.0" encoding="utf-8"?>
<ds:datastoreItem xmlns:ds="http://schemas.openxmlformats.org/officeDocument/2006/customXml" ds:itemID="{D4D14460-1C60-41FB-8459-15FB0C8B0FFF}">
  <ds:schemaRefs/>
</ds:datastoreItem>
</file>

<file path=customXml/itemProps4.xml><?xml version="1.0" encoding="utf-8"?>
<ds:datastoreItem xmlns:ds="http://schemas.openxmlformats.org/officeDocument/2006/customXml" ds:itemID="{C1DDA62C-F029-4501-8235-16FEE2E01AA9}">
  <ds:schemaRefs/>
</ds:datastoreItem>
</file>

<file path=customXml/itemProps5.xml><?xml version="1.0" encoding="utf-8"?>
<ds:datastoreItem xmlns:ds="http://schemas.openxmlformats.org/officeDocument/2006/customXml" ds:itemID="{8F116DD3-CFE4-455D-9ADE-D61870CA6704}">
  <ds:schemaRefs/>
</ds:datastoreItem>
</file>

<file path=customXml/itemProps6.xml><?xml version="1.0" encoding="utf-8"?>
<ds:datastoreItem xmlns:ds="http://schemas.openxmlformats.org/officeDocument/2006/customXml" ds:itemID="{99EA450E-0E8C-412A-A614-414D8AD94DE8}">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5</Pages>
  <Words>1523</Words>
  <Characters>8682</Characters>
  <Lines>72</Lines>
  <Paragraphs>20</Paragraphs>
  <TotalTime>8</TotalTime>
  <ScaleCrop>false</ScaleCrop>
  <LinksUpToDate>false</LinksUpToDate>
  <CharactersWithSpaces>10185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2022-08-23T08:26:00Z</dcterms:created>
  <dc:creator>USUDA</dc:creator>
  <cp:lastModifiedBy>ZTE-Ziyang</cp:lastModifiedBy>
  <cp:lastPrinted>2017-08-08T16:40:00Z</cp:lastPrinted>
  <dcterms:modified xsi:type="dcterms:W3CDTF">2022-08-23T09:26:13Z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