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Heading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E988E3C" w14:textId="77777777" w:rsidR="00454DE7" w:rsidRDefault="00F04AD9">
      <w:pPr>
        <w:pStyle w:val="Heading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Heading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BodyText"/>
              <w:numPr>
                <w:ilvl w:val="1"/>
                <w:numId w:val="14"/>
              </w:numPr>
              <w:snapToGrid w:val="0"/>
              <w:spacing w:afterLines="50"/>
              <w:jc w:val="both"/>
              <w:rPr>
                <w:rFonts w:eastAsia="SimSun"/>
                <w:sz w:val="22"/>
                <w:szCs w:val="22"/>
                <w:lang w:eastAsia="zh-CN"/>
              </w:rPr>
            </w:pPr>
            <w:r>
              <w:rPr>
                <w:rFonts w:eastAsia="SimSun"/>
                <w:sz w:val="22"/>
                <w:szCs w:val="22"/>
                <w:lang w:eastAsia="zh-CN"/>
              </w:rPr>
              <w:t>5. Separate initial DL BWP for RedCap UEes</w:t>
            </w:r>
          </w:p>
          <w:p w14:paraId="678E6AB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BodyText"/>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BodyText"/>
              <w:numPr>
                <w:ilvl w:val="0"/>
                <w:numId w:val="14"/>
              </w:numPr>
              <w:snapToGrid w:val="0"/>
              <w:spacing w:afterLines="50"/>
              <w:jc w:val="both"/>
              <w:rPr>
                <w:rFonts w:eastAsia="SimSun"/>
                <w:sz w:val="22"/>
                <w:szCs w:val="22"/>
                <w:lang w:eastAsia="zh-CN"/>
              </w:rPr>
            </w:pPr>
            <w:r>
              <w:rPr>
                <w:rFonts w:eastAsia="SimSun"/>
                <w:sz w:val="22"/>
                <w:szCs w:val="22"/>
                <w:lang w:eastAsia="zh-CN"/>
              </w:rPr>
              <w:t>Issue#2: FFS whether to add any other basic features for RedCap UE</w:t>
            </w:r>
          </w:p>
          <w:p w14:paraId="67C71388"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BodyText"/>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BodyText"/>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BodyText"/>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5. Separate initial DL BWP for RedCap UEes</w:t>
            </w:r>
          </w:p>
          <w:p w14:paraId="260F8F1B"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BodyText"/>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ListParagraph"/>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ListParagraph"/>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ListParagraph"/>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ListParagraph"/>
              <w:spacing w:afterLines="50" w:after="120" w:line="256" w:lineRule="auto"/>
              <w:ind w:left="960"/>
              <w:rPr>
                <w:rFonts w:eastAsia="Times New Roman"/>
                <w:sz w:val="22"/>
                <w:szCs w:val="22"/>
                <w:lang w:eastAsia="en-US"/>
              </w:rPr>
            </w:pPr>
          </w:p>
          <w:p w14:paraId="236265D5" w14:textId="77777777" w:rsidR="00454DE7" w:rsidRDefault="00F04AD9">
            <w:pPr>
              <w:pStyle w:val="ListParagraph"/>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ListParagraph"/>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ListParagraph"/>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ListParagraph"/>
              <w:spacing w:afterLines="50" w:after="120" w:line="256" w:lineRule="auto"/>
              <w:ind w:left="960"/>
              <w:rPr>
                <w:rFonts w:eastAsia="DengXian"/>
                <w:sz w:val="22"/>
                <w:szCs w:val="22"/>
                <w:lang w:eastAsia="zh-CN"/>
              </w:rPr>
            </w:pPr>
            <w:r>
              <w:rPr>
                <w:rFonts w:eastAsia="DengXian"/>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 xml:space="preserve">Proposal 2: No additional requirements is added for RedCap UEs compared to legacy UEs capable of FG6-1a. </w:t>
            </w:r>
          </w:p>
          <w:p w14:paraId="43E6152B"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ListParagraph"/>
              <w:spacing w:afterLines="50" w:after="120" w:line="256" w:lineRule="auto"/>
              <w:ind w:left="960"/>
              <w:rPr>
                <w:rFonts w:eastAsia="DengXian"/>
                <w:sz w:val="22"/>
                <w:szCs w:val="22"/>
              </w:rPr>
            </w:pPr>
            <w:r>
              <w:rPr>
                <w:rFonts w:eastAsia="DengXian"/>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ListParagraph"/>
              <w:spacing w:afterLines="50" w:after="120" w:line="256" w:lineRule="auto"/>
              <w:ind w:left="960"/>
              <w:rPr>
                <w:rFonts w:eastAsia="DengXian"/>
                <w:b/>
                <w:sz w:val="22"/>
                <w:szCs w:val="22"/>
              </w:rPr>
            </w:pPr>
            <w:r>
              <w:rPr>
                <w:rFonts w:eastAsia="DengXian"/>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TableGrid"/>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ListParagraph"/>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ListParagraph"/>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ListParagraph"/>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Heading3"/>
        <w:rPr>
          <w:b/>
          <w:bCs/>
          <w:szCs w:val="21"/>
          <w:lang w:val="en-US"/>
        </w:rPr>
      </w:pPr>
      <w:r>
        <w:rPr>
          <w:b/>
          <w:bCs/>
          <w:szCs w:val="21"/>
          <w:highlight w:val="yellow"/>
          <w:lang w:val="en-US"/>
        </w:rPr>
        <w:t>High priority proposal 2-1-1:</w:t>
      </w:r>
    </w:p>
    <w:p w14:paraId="09563E55"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Apply one of the following alternatives for Component 5 of FG28-1</w:t>
      </w:r>
    </w:p>
    <w:p w14:paraId="4CA1EB4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Alt.1-1: Remove FFS and keep “For separate initial DL BWP used for paging, CD-SSB is included” [4, 7]</w:t>
      </w:r>
    </w:p>
    <w:p w14:paraId="7ACB65D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Remove FFS and add following two sentences [5]</w:t>
      </w:r>
    </w:p>
    <w:p w14:paraId="680FF18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 xml:space="preserve">“For separate initial DL BWP used for paging </w:t>
      </w:r>
      <w:r>
        <w:rPr>
          <w:b/>
          <w:bCs/>
          <w:color w:val="FF0000"/>
          <w:szCs w:val="24"/>
          <w:u w:val="single"/>
          <w:lang w:val="en-US"/>
        </w:rPr>
        <w:t>in idle/inactive mode or in connected mode as BWP#0 configuration option 1</w:t>
      </w:r>
      <w:r>
        <w:rPr>
          <w:b/>
          <w:bCs/>
          <w:szCs w:val="24"/>
          <w:lang w:val="en-US"/>
        </w:rPr>
        <w:t>, CD-SSB is included”</w:t>
      </w:r>
    </w:p>
    <w:p w14:paraId="46B0C57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Remove “FFS: For separate initial DL BWP used for paging, CD-SSB is included” [8]</w:t>
      </w:r>
    </w:p>
    <w:tbl>
      <w:tblPr>
        <w:tblStyle w:val="TableGrid"/>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ListParagraph"/>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ListParagraph"/>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How to handle such conflict? If the finial decision is to follow RAN2 agreements, then Alt1-1 can be adopted.</w:t>
            </w:r>
          </w:p>
          <w:p w14:paraId="31B9C3A4" w14:textId="77777777" w:rsidR="00454DE7" w:rsidRDefault="00F04AD9">
            <w:pPr>
              <w:pStyle w:val="BodyText"/>
              <w:snapToGrid w:val="0"/>
              <w:spacing w:afterLines="50"/>
              <w:jc w:val="both"/>
              <w:rPr>
                <w:rFonts w:eastAsia="SimSun"/>
                <w:sz w:val="22"/>
                <w:szCs w:val="22"/>
                <w:lang w:val="en-US" w:eastAsia="zh-CN"/>
              </w:rPr>
            </w:pPr>
            <w:r>
              <w:rPr>
                <w:rFonts w:eastAsia="SimSun"/>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SimSun"/>
                <w:szCs w:val="21"/>
                <w:lang w:val="en-US" w:eastAsia="zh-CN"/>
              </w:rPr>
            </w:pPr>
            <w:r>
              <w:rPr>
                <w:rFonts w:eastAsia="SimSun"/>
                <w:szCs w:val="21"/>
                <w:lang w:val="en-US" w:eastAsia="zh-CN"/>
              </w:rPr>
              <w:t>Ericsson</w:t>
            </w:r>
          </w:p>
        </w:tc>
        <w:tc>
          <w:tcPr>
            <w:tcW w:w="4494" w:type="pct"/>
          </w:tcPr>
          <w:p w14:paraId="68479CF4" w14:textId="454ED587" w:rsidR="000223FA" w:rsidRDefault="000223FA">
            <w:pPr>
              <w:rPr>
                <w:rFonts w:eastAsia="SimSun"/>
                <w:szCs w:val="21"/>
                <w:lang w:val="en-US" w:eastAsia="zh-CN"/>
              </w:rPr>
            </w:pPr>
            <w:r>
              <w:rPr>
                <w:rFonts w:eastAsia="SimSun"/>
                <w:szCs w:val="21"/>
                <w:lang w:val="en-US" w:eastAsia="zh-CN"/>
              </w:rPr>
              <w:t>Alt 1-1</w:t>
            </w:r>
          </w:p>
        </w:tc>
      </w:tr>
    </w:tbl>
    <w:p w14:paraId="4C31B3A1" w14:textId="77777777" w:rsidR="00454DE7" w:rsidRDefault="00454DE7">
      <w:pPr>
        <w:spacing w:afterLines="50" w:after="120"/>
        <w:jc w:val="both"/>
        <w:rPr>
          <w:sz w:val="22"/>
          <w:lang w:val="en-US"/>
        </w:rPr>
      </w:pPr>
    </w:p>
    <w:p w14:paraId="29C50C7E" w14:textId="77777777" w:rsidR="00454DE7" w:rsidRDefault="00F04AD9">
      <w:pPr>
        <w:pStyle w:val="Heading3"/>
        <w:rPr>
          <w:b/>
          <w:bCs/>
          <w:szCs w:val="21"/>
          <w:lang w:val="en-US"/>
        </w:rPr>
      </w:pPr>
      <w:r>
        <w:rPr>
          <w:b/>
          <w:bCs/>
          <w:szCs w:val="21"/>
          <w:highlight w:val="yellow"/>
          <w:lang w:val="en-US"/>
        </w:rPr>
        <w:t>High priority proposal 2-1-2:</w:t>
      </w:r>
    </w:p>
    <w:p w14:paraId="077D11EC"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any other basic features for RedCap UE” and apply one of the following alternatives for potential additional component of FG28-1</w:t>
      </w:r>
    </w:p>
    <w:p w14:paraId="64253D89"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lastRenderedPageBreak/>
        <w:t>A</w:t>
      </w:r>
      <w:r>
        <w:rPr>
          <w:b/>
          <w:bCs/>
          <w:szCs w:val="24"/>
          <w:lang w:val="en-US"/>
        </w:rPr>
        <w:t>lt.1-1: Add component “</w:t>
      </w:r>
      <w:r>
        <w:rPr>
          <w:b/>
          <w:bCs/>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zCs w:val="24"/>
          <w:lang w:val="en-US"/>
        </w:rPr>
        <w:t>” [2]</w:t>
      </w:r>
    </w:p>
    <w:p w14:paraId="03B69075"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lt.1-2: Add following components [7]</w:t>
      </w:r>
    </w:p>
    <w:p w14:paraId="0DD08A42"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FR1, support one PDCCH CORESET per BWP per cell in addition to CORESET#0 if the BWP contains CORESET#0, otherwise, support two PDCCH CORESETs per BWP per cell</w:t>
      </w:r>
      <w:r>
        <w:rPr>
          <w:b/>
          <w:bCs/>
          <w:szCs w:val="24"/>
          <w:lang w:val="en-US"/>
        </w:rPr>
        <w:t>”</w:t>
      </w:r>
    </w:p>
    <w:p w14:paraId="1454D0D5"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FR2, support two PDCCH CORESETs per BWP per cell in addition to CORESET#0 if the BWP contains CORESET#0, otherwise, support three PDCCH CORESETs per BWP per cell</w:t>
      </w:r>
      <w:r>
        <w:rPr>
          <w:b/>
          <w:bCs/>
          <w:szCs w:val="24"/>
          <w:lang w:val="en-US"/>
        </w:rPr>
        <w:t>”</w:t>
      </w:r>
    </w:p>
    <w:p w14:paraId="14DC4077"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No additional component [4, 6, 8]</w:t>
      </w:r>
    </w:p>
    <w:tbl>
      <w:tblPr>
        <w:tblStyle w:val="TableGrid"/>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Heading3"/>
        <w:rPr>
          <w:b/>
          <w:bCs/>
          <w:szCs w:val="21"/>
          <w:lang w:val="en-US"/>
        </w:rPr>
      </w:pPr>
      <w:r>
        <w:rPr>
          <w:b/>
          <w:bCs/>
          <w:szCs w:val="21"/>
          <w:highlight w:val="yellow"/>
          <w:lang w:val="en-US"/>
        </w:rPr>
        <w:t>High priority proposal 2-1-3:</w:t>
      </w:r>
    </w:p>
    <w:p w14:paraId="65A564A4"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TableGrid"/>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77777777" w:rsidR="00454DE7" w:rsidRDefault="00F04AD9">
            <w:pPr>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We are fine with excluding UE capabilities exceeding 1Tx capability, Rel-17 eIAB and NR DC/CA further enhancements capabilities and  Rel-17 above-52GHz and feMIMO capabilities.</w:t>
            </w:r>
          </w:p>
          <w:p w14:paraId="536EDD1C" w14:textId="77777777" w:rsidR="00454DE7" w:rsidRDefault="00F04AD9">
            <w:pPr>
              <w:rPr>
                <w:rFonts w:eastAsia="SimSun"/>
                <w:szCs w:val="21"/>
                <w:lang w:val="en-US" w:eastAsia="zh-CN"/>
              </w:rPr>
            </w:pPr>
            <w:r>
              <w:rPr>
                <w:rFonts w:eastAsia="SimSun"/>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5F256771" w14:textId="77777777" w:rsidR="00454DE7" w:rsidRDefault="00F04AD9">
            <w:pPr>
              <w:rPr>
                <w:rFonts w:eastAsiaTheme="minorEastAsia"/>
                <w:szCs w:val="21"/>
                <w:lang w:val="en-US"/>
              </w:rPr>
            </w:pPr>
            <w:r>
              <w:rPr>
                <w:rFonts w:eastAsia="SimSun"/>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ZTE, Sanechips</w:t>
            </w:r>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7777777" w:rsidR="00454DE7" w:rsidRDefault="00F04AD9">
            <w:pPr>
              <w:rPr>
                <w:rFonts w:eastAsia="SimSun"/>
                <w:szCs w:val="21"/>
                <w:lang w:val="en-US" w:eastAsia="zh-CN"/>
              </w:rPr>
            </w:pPr>
            <w:r>
              <w:rPr>
                <w:rFonts w:eastAsia="SimSun"/>
                <w:szCs w:val="21"/>
                <w:lang w:val="en-US" w:eastAsia="zh-CN"/>
              </w:rPr>
              <w:t>Regarding 1st bullet (1Tx): It should be removed -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Regarding 2nd bullet: not needed – if RedCap UE does not support eIAB not NR DC/CA, it will not support the enhancements</w:t>
            </w:r>
          </w:p>
          <w:p w14:paraId="45B085FB" w14:textId="77777777" w:rsidR="00454DE7" w:rsidRDefault="00F04AD9">
            <w:pPr>
              <w:rPr>
                <w:rFonts w:eastAsia="SimSun"/>
                <w:szCs w:val="21"/>
                <w:lang w:val="en-US" w:eastAsia="zh-CN"/>
              </w:rPr>
            </w:pPr>
            <w:r>
              <w:rPr>
                <w:rFonts w:eastAsia="SimSun"/>
                <w:szCs w:val="21"/>
                <w:lang w:val="en-US" w:eastAsia="zh-CN"/>
              </w:rPr>
              <w:t>Regarding 3rd bullet: we note that there are some capabilities (e.g. BW) that exceed RedCap UEs capabilities, a blanket exclusion of above 52 GHz is not needed. Likewise for feMIMO – there may be some RedCap UEs supporting 2 Rx.</w:t>
            </w:r>
          </w:p>
          <w:p w14:paraId="2010D9C8" w14:textId="77777777" w:rsidR="00454DE7" w:rsidRDefault="00F04AD9">
            <w:pPr>
              <w:rPr>
                <w:rFonts w:eastAsia="SimSun"/>
                <w:szCs w:val="21"/>
                <w:lang w:val="en-US" w:eastAsia="zh-CN"/>
              </w:rPr>
            </w:pPr>
            <w:r>
              <w:rPr>
                <w:rFonts w:eastAsia="SimSun"/>
                <w:szCs w:val="21"/>
                <w:lang w:val="en-US" w:eastAsia="zh-CN"/>
              </w:rPr>
              <w:lastRenderedPageBreak/>
              <w:t>Regarding 4th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lastRenderedPageBreak/>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77777777"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UEs,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1AF09E55" w14:textId="4D45DC4C"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RedCap UEs,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SimSun"/>
                <w:szCs w:val="21"/>
                <w:lang w:val="en-US" w:eastAsia="zh-CN"/>
              </w:rPr>
            </w:pPr>
            <w:r>
              <w:rPr>
                <w:rFonts w:eastAsia="SimSun"/>
                <w:szCs w:val="21"/>
                <w:lang w:val="en-US" w:eastAsia="zh-CN"/>
              </w:rPr>
              <w:t>Ericsson</w:t>
            </w:r>
          </w:p>
        </w:tc>
        <w:tc>
          <w:tcPr>
            <w:tcW w:w="4494" w:type="pct"/>
          </w:tcPr>
          <w:p w14:paraId="40A757D3" w14:textId="4EE0A15F" w:rsidR="004A07AF" w:rsidRDefault="00C4397E">
            <w:pPr>
              <w:rPr>
                <w:rFonts w:eastAsia="SimSun"/>
                <w:szCs w:val="21"/>
                <w:lang w:val="en-US" w:eastAsia="zh-CN"/>
              </w:rPr>
            </w:pPr>
            <w:r>
              <w:rPr>
                <w:rFonts w:eastAsia="SimSun"/>
                <w:szCs w:val="21"/>
                <w:lang w:val="en-US" w:eastAsia="zh-CN"/>
              </w:rPr>
              <w:t>We do not support the proposal. We share the views expressed by Futurewei</w:t>
            </w:r>
            <w:r w:rsidR="00EA6D5E">
              <w:rPr>
                <w:rFonts w:eastAsia="SimSun"/>
                <w:szCs w:val="21"/>
                <w:lang w:val="en-US" w:eastAsia="zh-CN"/>
              </w:rPr>
              <w:t>, CMCC,</w:t>
            </w:r>
            <w:r>
              <w:rPr>
                <w:rFonts w:eastAsia="SimSun"/>
                <w:szCs w:val="21"/>
                <w:lang w:val="en-US" w:eastAsia="zh-CN"/>
              </w:rPr>
              <w:t xml:space="preserve"> and Nokia.</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Heading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TableGrid"/>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BodyText"/>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List3"/>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RedCap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BodyText"/>
              <w:spacing w:afterLines="50"/>
              <w:rPr>
                <w:rFonts w:eastAsia="SimSun"/>
                <w:sz w:val="22"/>
                <w:szCs w:val="22"/>
                <w:lang w:eastAsia="zh-CN"/>
              </w:rPr>
            </w:pPr>
          </w:p>
          <w:p w14:paraId="4376C4AC" w14:textId="77777777" w:rsidR="00454DE7" w:rsidRDefault="00F04AD9">
            <w:pPr>
              <w:pStyle w:val="BodyText"/>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BodyText"/>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r>
              <w:rPr>
                <w:rFonts w:eastAsia="DengXian"/>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DengXian"/>
                <w:sz w:val="22"/>
                <w:szCs w:val="22"/>
                <w:lang w:eastAsia="zh-CN"/>
              </w:rPr>
              <w:t>UE reports the corresponding capabilit</w:t>
            </w:r>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lastRenderedPageBreak/>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r>
              <w:rPr>
                <w:rFonts w:eastAsia="DengXian"/>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" fillcolor="white [3201]" strokeweight=".5pt">
                      <v:textbo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ListParagraph"/>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ListParagraph"/>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ListParagraph"/>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TableGrid"/>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TableGrid"/>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lastRenderedPageBreak/>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lastRenderedPageBreak/>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ListParagraph"/>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ListParagraph"/>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ListParagraph"/>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ListParagraph"/>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Heading3"/>
        <w:rPr>
          <w:b/>
          <w:bCs/>
          <w:szCs w:val="21"/>
          <w:lang w:val="en-US"/>
        </w:rPr>
      </w:pPr>
      <w:r>
        <w:rPr>
          <w:b/>
          <w:bCs/>
          <w:szCs w:val="21"/>
          <w:highlight w:val="yellow"/>
          <w:lang w:val="en-US"/>
        </w:rPr>
        <w:t>High priority proposal 2-2:</w:t>
      </w:r>
    </w:p>
    <w:p w14:paraId="32F59C4A" w14:textId="77777777" w:rsidR="00454DE7" w:rsidRDefault="00F04AD9">
      <w:pPr>
        <w:pStyle w:val="ListParagraph"/>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ListParagraph"/>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ListParagraph"/>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ListParagraph"/>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ListParagraph"/>
        <w:numPr>
          <w:ilvl w:val="1"/>
          <w:numId w:val="16"/>
        </w:numPr>
        <w:spacing w:afterLines="50" w:after="120"/>
        <w:ind w:leftChars="0"/>
        <w:jc w:val="both"/>
        <w:rPr>
          <w:b/>
          <w:bCs/>
          <w:szCs w:val="24"/>
          <w:lang w:val="en-US"/>
        </w:rPr>
      </w:pPr>
      <w:r>
        <w:rPr>
          <w:b/>
          <w:bCs/>
          <w:szCs w:val="24"/>
          <w:lang w:val="en-US"/>
        </w:rPr>
        <w:t>Alt.3: No additional component [4, 6, 8]</w:t>
      </w:r>
    </w:p>
    <w:tbl>
      <w:tblPr>
        <w:tblStyle w:val="TableGrid"/>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ListParagraph"/>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lastRenderedPageBreak/>
              <w:t>ZTE, Sanechips</w:t>
            </w:r>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595E28EE" w:rsidR="00454DE7" w:rsidRDefault="00F04AD9">
            <w:pPr>
              <w:rPr>
                <w:rFonts w:eastAsia="SimSun"/>
                <w:szCs w:val="21"/>
                <w:lang w:val="en-US" w:eastAsia="zh-CN"/>
              </w:rPr>
            </w:pPr>
            <w:r>
              <w:rPr>
                <w:rFonts w:eastAsia="SimSun"/>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DengXian"/>
                <w:b/>
                <w:bCs/>
                <w:sz w:val="22"/>
                <w:szCs w:val="22"/>
                <w:lang w:eastAsia="zh-CN"/>
              </w:rPr>
              <w:t>UE reports the corresponding capabilit</w:t>
            </w:r>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EC</w:t>
            </w:r>
          </w:p>
        </w:tc>
        <w:tc>
          <w:tcPr>
            <w:tcW w:w="4494" w:type="pct"/>
          </w:tcPr>
          <w:p w14:paraId="726FCD41" w14:textId="158E8E6C" w:rsidR="00D7156B" w:rsidRDefault="00D7156B" w:rsidP="00D7156B">
            <w:pPr>
              <w:rPr>
                <w:rFonts w:eastAsia="SimSun"/>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SimSun"/>
                <w:szCs w:val="21"/>
                <w:lang w:val="en-US" w:eastAsia="zh-CN"/>
              </w:rPr>
            </w:pPr>
            <w:r>
              <w:rPr>
                <w:rFonts w:eastAsia="SimSun"/>
                <w:szCs w:val="21"/>
                <w:lang w:val="en-US" w:eastAsia="zh-CN"/>
              </w:rPr>
              <w:t>Ericsson</w:t>
            </w:r>
          </w:p>
        </w:tc>
        <w:tc>
          <w:tcPr>
            <w:tcW w:w="4494" w:type="pct"/>
          </w:tcPr>
          <w:p w14:paraId="7F53FEF8" w14:textId="77777777" w:rsidR="00543D22" w:rsidRDefault="00543D22">
            <w:pPr>
              <w:rPr>
                <w:rFonts w:eastAsia="SimSun"/>
                <w:szCs w:val="21"/>
                <w:lang w:val="en-US" w:eastAsia="zh-CN"/>
              </w:rPr>
            </w:pPr>
            <w:r>
              <w:rPr>
                <w:rFonts w:eastAsia="SimSun"/>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SimSun"/>
                <w:szCs w:val="21"/>
                <w:lang w:val="en-US" w:eastAsia="zh-CN"/>
              </w:rPr>
            </w:pPr>
            <w:r>
              <w:rPr>
                <w:rFonts w:eastAsia="SimSun"/>
                <w:szCs w:val="21"/>
                <w:lang w:val="en-US" w:eastAsia="zh-CN"/>
              </w:rPr>
              <w:t>The second sub-bullet of Alt.1, and Alt.2, seem to go beyond what we can agree in RAN1, at least at this point.</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Heading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Heading1"/>
        <w:spacing w:before="180" w:after="120"/>
        <w:rPr>
          <w:rFonts w:eastAsia="MS Mincho"/>
          <w:b/>
          <w:bCs/>
          <w:szCs w:val="24"/>
          <w:lang w:val="en-US"/>
        </w:rPr>
      </w:pPr>
      <w:r>
        <w:rPr>
          <w:rFonts w:eastAsia="MS Mincho"/>
          <w:b/>
          <w:bCs/>
          <w:szCs w:val="24"/>
          <w:lang w:val="en-US"/>
        </w:rPr>
        <w:t>2References</w:t>
      </w:r>
    </w:p>
    <w:p w14:paraId="73552FB3" w14:textId="77777777" w:rsidR="00454DE7" w:rsidRDefault="00F04AD9">
      <w:pPr>
        <w:spacing w:afterLines="50" w:after="120"/>
        <w:jc w:val="both"/>
        <w:rPr>
          <w:rFonts w:eastAsia="MS Mincho"/>
          <w:sz w:val="22"/>
        </w:rPr>
      </w:pPr>
      <w:bookmarkStart w:id="32"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2"/>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3DFD" w14:textId="77777777" w:rsidR="006B2B21" w:rsidRDefault="006B2B21">
      <w:r>
        <w:separator/>
      </w:r>
    </w:p>
  </w:endnote>
  <w:endnote w:type="continuationSeparator" w:id="0">
    <w:p w14:paraId="5518B201" w14:textId="77777777" w:rsidR="006B2B21" w:rsidRDefault="006B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9AC2" w14:textId="77777777" w:rsidR="00454DE7" w:rsidRDefault="00454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0CE2" w14:textId="77777777" w:rsidR="00454DE7" w:rsidRDefault="00454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B2E6" w14:textId="77777777" w:rsidR="006B2B21" w:rsidRDefault="006B2B21">
      <w:r>
        <w:separator/>
      </w:r>
    </w:p>
  </w:footnote>
  <w:footnote w:type="continuationSeparator" w:id="0">
    <w:p w14:paraId="79514274" w14:textId="77777777" w:rsidR="006B2B21" w:rsidRDefault="006B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C1F" w14:textId="77777777" w:rsidR="00454DE7" w:rsidRDefault="00454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154" w14:textId="77777777" w:rsidR="00454DE7" w:rsidRDefault="00454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DD37" w14:textId="77777777" w:rsidR="00454DE7" w:rsidRDefault="00454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qFormat/>
    <w:pPr>
      <w:numPr>
        <w:numId w:val="9"/>
      </w:numPr>
      <w:tabs>
        <w:tab w:val="clear" w:pos="0"/>
      </w:tabs>
    </w:pPr>
    <w:rPr>
      <w:rFonts w:eastAsia="Batang" w:cs="Arial"/>
      <w:b/>
      <w:bCs/>
      <w:kern w:val="32"/>
      <w:szCs w:val="32"/>
      <w:lang w:eastAsia="en-US"/>
    </w:rPr>
  </w:style>
  <w:style w:type="paragraph" w:customStyle="1" w:styleId="xxmsonormal">
    <w:name w:val="x_xmsonormal"/>
    <w:basedOn w:val="Normal"/>
    <w:qFormat/>
    <w:rPr>
      <w:rFonts w:ascii="MS PGothic" w:eastAsia="MS PGothic" w:hAnsi="MS PGothic" w:cs="MS PGothic"/>
      <w:szCs w:val="24"/>
      <w:lang w:val="en-US"/>
    </w:rPr>
  </w:style>
  <w:style w:type="character" w:customStyle="1" w:styleId="Heading3Char">
    <w:name w:val="Heading 3 Char"/>
    <w:basedOn w:val="DefaultParagraphFont"/>
    <w:link w:val="Heading3"/>
    <w:qFormat/>
    <w:rPr>
      <w:rFonts w:ascii="Arial" w:eastAsia="MS Gothic" w:hAnsi="Arial"/>
      <w:sz w:val="24"/>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49E0C-558C-439C-B18F-F13D1E3FB380}">
  <ds:schemaRefs>
    <ds:schemaRef ds:uri="http://schemas.openxmlformats.org/officeDocument/2006/bibliography"/>
  </ds:schemaRefs>
</ds:datastoreItem>
</file>

<file path=customXml/itemProps6.xml><?xml version="1.0" encoding="utf-8"?>
<ds:datastoreItem xmlns:ds="http://schemas.openxmlformats.org/officeDocument/2006/customXml" ds:itemID="{C1DDA62C-F029-4501-8235-16FEE2E01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6557</Words>
  <Characters>32272</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12</cp:revision>
  <cp:lastPrinted>2017-08-08T16:40:00Z</cp:lastPrinted>
  <dcterms:created xsi:type="dcterms:W3CDTF">2022-08-22T15:39:00Z</dcterms:created>
  <dcterms:modified xsi:type="dcterms:W3CDTF">2022-08-22T22:16:00Z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