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 xml:space="preserve">FL note2: Based on </w:t>
            </w:r>
            <w:proofErr w:type="spellStart"/>
            <w:r>
              <w:rPr>
                <w:sz w:val="18"/>
                <w:szCs w:val="18"/>
              </w:rPr>
              <w:t>ASUSTek’s</w:t>
            </w:r>
            <w:proofErr w:type="spellEnd"/>
            <w:r>
              <w:rPr>
                <w:sz w:val="18"/>
                <w:szCs w:val="18"/>
              </w:rPr>
              <w:t xml:space="preserve">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w:t>
            </w:r>
            <w:proofErr w:type="spellStart"/>
            <w:r w:rsidRPr="00C80949">
              <w:rPr>
                <w:rFonts w:eastAsia="SimSun"/>
                <w:i/>
                <w:iCs/>
                <w:sz w:val="16"/>
                <w:szCs w:val="16"/>
                <w:lang w:eastAsia="en-US"/>
              </w:rPr>
              <w:t>PowerControl</w:t>
            </w:r>
            <w:proofErr w:type="spellEnd"/>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proofErr w:type="spellStart"/>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proofErr w:type="spellEnd"/>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proofErr w:type="spellStart"/>
            <w:r w:rsidRPr="00C80949">
              <w:rPr>
                <w:rFonts w:eastAsia="SimSun"/>
                <w:i/>
                <w:iCs/>
                <w:sz w:val="16"/>
                <w:szCs w:val="16"/>
                <w:lang w:val="x-none" w:eastAsia="en-US"/>
              </w:rPr>
              <w:t>pathlossReferenceLinking</w:t>
            </w:r>
            <w:proofErr w:type="spellEnd"/>
          </w:p>
        </w:tc>
        <w:tc>
          <w:tcPr>
            <w:tcW w:w="1732" w:type="dxa"/>
          </w:tcPr>
          <w:p w14:paraId="222F93AA" w14:textId="6CB4B1BF" w:rsidR="009F324A" w:rsidRPr="00DA4707" w:rsidRDefault="00571E52" w:rsidP="009F324A">
            <w:pPr>
              <w:snapToGrid w:val="0"/>
              <w:rPr>
                <w:sz w:val="18"/>
                <w:szCs w:val="18"/>
              </w:rPr>
            </w:pPr>
            <w:proofErr w:type="spellStart"/>
            <w:r>
              <w:rPr>
                <w:sz w:val="18"/>
                <w:szCs w:val="18"/>
              </w:rPr>
              <w:t>ASUSTeK</w:t>
            </w:r>
            <w:proofErr w:type="spellEnd"/>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proofErr w:type="spellStart"/>
            <w:r>
              <w:rPr>
                <w:rFonts w:eastAsia="PMingLiU"/>
                <w:sz w:val="18"/>
                <w:szCs w:val="18"/>
                <w:lang w:eastAsia="zh-TW"/>
              </w:rPr>
              <w:t>ASUSTeK</w:t>
            </w:r>
            <w:proofErr w:type="spellEnd"/>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proofErr w:type="spellStart"/>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proofErr w:type="spellEnd"/>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proofErr w:type="spellStart"/>
            <w:r w:rsidRPr="00DC47F9">
              <w:rPr>
                <w:rFonts w:eastAsia="SimSun"/>
                <w:i/>
                <w:iCs/>
                <w:sz w:val="16"/>
                <w:szCs w:val="16"/>
                <w:lang w:val="x-none" w:eastAsia="en-US"/>
              </w:rPr>
              <w:t>pathlossReferenceLinking</w:t>
            </w:r>
            <w:proofErr w:type="spellEnd"/>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proofErr w:type="spellStart"/>
            <w:r w:rsidRPr="00DC47F9">
              <w:rPr>
                <w:rFonts w:eastAsia="SimSun"/>
                <w:i/>
                <w:sz w:val="16"/>
                <w:szCs w:val="16"/>
                <w:lang w:eastAsia="ja-JP"/>
              </w:rPr>
              <w:t>qcl</w:t>
            </w:r>
            <w:proofErr w:type="spellEnd"/>
            <w:r w:rsidRPr="00DC47F9">
              <w:rPr>
                <w:rFonts w:eastAsia="SimSun"/>
                <w:i/>
                <w:sz w:val="16"/>
                <w:szCs w:val="16"/>
                <w:lang w:eastAsia="ja-JP"/>
              </w:rPr>
              <w:t>-Type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proofErr w:type="spellStart"/>
            <w:r w:rsidRPr="00DC47F9">
              <w:rPr>
                <w:rFonts w:eastAsia="SimSun"/>
                <w:sz w:val="16"/>
                <w:szCs w:val="16"/>
                <w:lang w:val="x-none" w:eastAsia="en-US"/>
              </w:rPr>
              <w:t>ypeD</w:t>
            </w:r>
            <w:proofErr w:type="spellEnd"/>
            <w:r w:rsidRPr="00DC47F9">
              <w:rPr>
                <w:rFonts w:eastAsia="SimSun"/>
                <w:sz w:val="16"/>
                <w:szCs w:val="16"/>
                <w:lang w:val="x-none" w:eastAsia="en-US"/>
              </w:rPr>
              <w:t xml:space="preserve">'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w:t>
            </w:r>
            <w:proofErr w:type="spellStart"/>
            <w:r>
              <w:rPr>
                <w:rFonts w:hint="eastAsia"/>
                <w:sz w:val="18"/>
                <w:szCs w:val="18"/>
                <w:lang w:val="x-none"/>
              </w:rPr>
              <w:t>ASUSTek</w:t>
            </w:r>
            <w:proofErr w:type="spellEnd"/>
            <w:r>
              <w:rPr>
                <w:rFonts w:hint="eastAsia"/>
                <w:sz w:val="18"/>
                <w:szCs w:val="18"/>
                <w:lang w:val="x-none"/>
              </w:rPr>
              <w:t xml:space="preserve">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6C64E332" w:rsidR="00AB56E7" w:rsidRDefault="006377BF" w:rsidP="00AB56E7">
            <w:pPr>
              <w:snapToGrid w:val="0"/>
              <w:jc w:val="both"/>
              <w:rPr>
                <w:rFonts w:eastAsia="PMingLiU"/>
                <w:sz w:val="18"/>
                <w:szCs w:val="18"/>
                <w:lang w:val="x-none" w:eastAsia="zh-TW"/>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46F68E4C" w14:textId="239DE759" w:rsidR="00AB56E7" w:rsidRPr="00C80949" w:rsidRDefault="00AB56E7" w:rsidP="00DC47F9">
            <w:pPr>
              <w:snapToGrid w:val="0"/>
              <w:jc w:val="both"/>
              <w:rPr>
                <w:sz w:val="18"/>
                <w:szCs w:val="18"/>
                <w:lang w:val="x-none"/>
              </w:rPr>
            </w:pP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 xml:space="preserve">Clarify in section 5.2.3 that CSI Part 2 for Enhanced Type II CSI feedback can contain LI if </w:t>
            </w:r>
            <w:proofErr w:type="spellStart"/>
            <w:r w:rsidR="0038026E" w:rsidRPr="0038026E">
              <w:rPr>
                <w:sz w:val="18"/>
                <w:szCs w:val="18"/>
              </w:rPr>
              <w:t>reportQuantity</w:t>
            </w:r>
            <w:proofErr w:type="spellEnd"/>
            <w:r w:rsidR="0038026E" w:rsidRPr="0038026E">
              <w:rPr>
                <w:sz w:val="18"/>
                <w:szCs w:val="18"/>
              </w:rPr>
              <w:t xml:space="preserve"> in CSI-</w:t>
            </w:r>
            <w:proofErr w:type="spellStart"/>
            <w:r w:rsidR="0038026E" w:rsidRPr="0038026E">
              <w:rPr>
                <w:sz w:val="18"/>
                <w:szCs w:val="18"/>
              </w:rPr>
              <w:t>ReportConfig</w:t>
            </w:r>
            <w:proofErr w:type="spellEnd"/>
            <w:r w:rsidR="0038026E" w:rsidRPr="0038026E">
              <w:rPr>
                <w:sz w:val="18"/>
                <w:szCs w:val="18"/>
              </w:rPr>
              <w:t xml:space="preserve">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w:t>
            </w:r>
            <w:r w:rsidRPr="0038026E">
              <w:rPr>
                <w:sz w:val="18"/>
                <w:szCs w:val="18"/>
              </w:rPr>
              <w:lastRenderedPageBreak/>
              <w:t xml:space="preserve">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12D20523" w14:textId="36EA2B6C" w:rsidR="003F012B" w:rsidRPr="0041137F"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w:t>
            </w:r>
            <w:r w:rsidR="002764DF">
              <w:rPr>
                <w:rFonts w:eastAsia="DengXian"/>
                <w:sz w:val="18"/>
                <w:szCs w:val="18"/>
                <w:lang w:eastAsia="zh-CN"/>
              </w:rPr>
              <w:t>This is late change for R16 eT2 CSI feedback</w:t>
            </w:r>
            <w:r w:rsidR="002764DF">
              <w:rPr>
                <w:rFonts w:eastAsia="DengXian"/>
                <w:sz w:val="18"/>
                <w:szCs w:val="18"/>
                <w:lang w:eastAsia="zh-CN"/>
              </w:rPr>
              <w:t>.</w:t>
            </w:r>
            <w:r w:rsidR="002764DF">
              <w:rPr>
                <w:rFonts w:eastAsia="DengXian"/>
                <w:sz w:val="18"/>
                <w:szCs w:val="18"/>
                <w:lang w:eastAsia="zh-CN"/>
              </w:rPr>
              <w:t xml:space="preserve">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 xml:space="preserve">maintenance on Rel-16 </w:t>
      </w:r>
      <w:proofErr w:type="spellStart"/>
      <w:r w:rsidR="000520D2" w:rsidRPr="006B4702">
        <w:rPr>
          <w:rFonts w:ascii="Times New Roman" w:hAnsi="Times New Roman" w:cs="Times New Roman"/>
          <w:sz w:val="20"/>
        </w:rPr>
        <w:t>NR_eMIMO</w:t>
      </w:r>
      <w:proofErr w:type="spellEnd"/>
      <w:r w:rsidR="000520D2" w:rsidRPr="006B4702">
        <w:rPr>
          <w:rFonts w:ascii="Times New Roman" w:hAnsi="Times New Roman" w:cs="Times New Roman"/>
          <w:sz w:val="20"/>
        </w:rPr>
        <w:t>:</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9744FA"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9744FA"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proofErr w:type="spellStart"/>
            <w:r w:rsidRPr="00571E52">
              <w:rPr>
                <w:sz w:val="18"/>
                <w:szCs w:val="18"/>
              </w:rPr>
              <w:t>ASUSTeK</w:t>
            </w:r>
            <w:proofErr w:type="spellEnd"/>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9773" w14:textId="77777777" w:rsidR="009744FA" w:rsidRDefault="009744FA" w:rsidP="00FE429F">
      <w:r>
        <w:separator/>
      </w:r>
    </w:p>
  </w:endnote>
  <w:endnote w:type="continuationSeparator" w:id="0">
    <w:p w14:paraId="330B0D55" w14:textId="77777777" w:rsidR="009744FA" w:rsidRDefault="009744F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DB7A" w14:textId="77777777" w:rsidR="009744FA" w:rsidRDefault="009744FA" w:rsidP="00FE429F">
      <w:r>
        <w:separator/>
      </w:r>
    </w:p>
  </w:footnote>
  <w:footnote w:type="continuationSeparator" w:id="0">
    <w:p w14:paraId="4E2FDBFE" w14:textId="77777777" w:rsidR="009744FA" w:rsidRDefault="009744F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03565542">
    <w:abstractNumId w:val="29"/>
  </w:num>
  <w:num w:numId="2" w16cid:durableId="2047023875">
    <w:abstractNumId w:val="37"/>
  </w:num>
  <w:num w:numId="3" w16cid:durableId="1082917200">
    <w:abstractNumId w:val="32"/>
  </w:num>
  <w:num w:numId="4" w16cid:durableId="68384063">
    <w:abstractNumId w:val="15"/>
  </w:num>
  <w:num w:numId="5" w16cid:durableId="1830824437">
    <w:abstractNumId w:val="41"/>
  </w:num>
  <w:num w:numId="6" w16cid:durableId="1170562792">
    <w:abstractNumId w:val="1"/>
  </w:num>
  <w:num w:numId="7" w16cid:durableId="212410486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279795810">
    <w:abstractNumId w:val="3"/>
  </w:num>
  <w:num w:numId="9" w16cid:durableId="1393503874">
    <w:abstractNumId w:val="33"/>
  </w:num>
  <w:num w:numId="10" w16cid:durableId="866715443">
    <w:abstractNumId w:val="22"/>
  </w:num>
  <w:num w:numId="11" w16cid:durableId="158466767">
    <w:abstractNumId w:val="10"/>
  </w:num>
  <w:num w:numId="12" w16cid:durableId="341863492">
    <w:abstractNumId w:val="7"/>
  </w:num>
  <w:num w:numId="13" w16cid:durableId="625698891">
    <w:abstractNumId w:val="25"/>
  </w:num>
  <w:num w:numId="14" w16cid:durableId="729423686">
    <w:abstractNumId w:val="24"/>
  </w:num>
  <w:num w:numId="15" w16cid:durableId="1101728905">
    <w:abstractNumId w:val="8"/>
  </w:num>
  <w:num w:numId="16" w16cid:durableId="657077744">
    <w:abstractNumId w:val="38"/>
  </w:num>
  <w:num w:numId="17" w16cid:durableId="353046139">
    <w:abstractNumId w:val="26"/>
  </w:num>
  <w:num w:numId="18" w16cid:durableId="631399373">
    <w:abstractNumId w:val="6"/>
  </w:num>
  <w:num w:numId="19" w16cid:durableId="863328711">
    <w:abstractNumId w:val="4"/>
  </w:num>
  <w:num w:numId="20" w16cid:durableId="1475567159">
    <w:abstractNumId w:val="30"/>
  </w:num>
  <w:num w:numId="21" w16cid:durableId="773860250">
    <w:abstractNumId w:val="28"/>
  </w:num>
  <w:num w:numId="22" w16cid:durableId="1387803289">
    <w:abstractNumId w:val="36"/>
  </w:num>
  <w:num w:numId="23" w16cid:durableId="1493184230">
    <w:abstractNumId w:val="13"/>
  </w:num>
  <w:num w:numId="24" w16cid:durableId="1811097434">
    <w:abstractNumId w:val="0"/>
  </w:num>
  <w:num w:numId="25" w16cid:durableId="1817720344">
    <w:abstractNumId w:val="27"/>
  </w:num>
  <w:num w:numId="26" w16cid:durableId="719131562">
    <w:abstractNumId w:val="39"/>
  </w:num>
  <w:num w:numId="27" w16cid:durableId="2018382213">
    <w:abstractNumId w:val="17"/>
  </w:num>
  <w:num w:numId="28" w16cid:durableId="856113808">
    <w:abstractNumId w:val="23"/>
  </w:num>
  <w:num w:numId="29" w16cid:durableId="1918438648">
    <w:abstractNumId w:val="20"/>
  </w:num>
  <w:num w:numId="30" w16cid:durableId="696078568">
    <w:abstractNumId w:val="19"/>
  </w:num>
  <w:num w:numId="31" w16cid:durableId="1054936501">
    <w:abstractNumId w:val="12"/>
  </w:num>
  <w:num w:numId="32" w16cid:durableId="438836757">
    <w:abstractNumId w:val="5"/>
  </w:num>
  <w:num w:numId="33" w16cid:durableId="661201969">
    <w:abstractNumId w:val="40"/>
  </w:num>
  <w:num w:numId="34" w16cid:durableId="2080129168">
    <w:abstractNumId w:val="34"/>
  </w:num>
  <w:num w:numId="35" w16cid:durableId="1468429359">
    <w:abstractNumId w:val="9"/>
  </w:num>
  <w:num w:numId="36" w16cid:durableId="704015736">
    <w:abstractNumId w:val="42"/>
  </w:num>
  <w:num w:numId="37" w16cid:durableId="1152410966">
    <w:abstractNumId w:val="16"/>
  </w:num>
  <w:num w:numId="38" w16cid:durableId="722631436">
    <w:abstractNumId w:val="35"/>
  </w:num>
  <w:num w:numId="39" w16cid:durableId="560554700">
    <w:abstractNumId w:val="11"/>
  </w:num>
  <w:num w:numId="40" w16cid:durableId="1656569261">
    <w:abstractNumId w:val="31"/>
  </w:num>
  <w:num w:numId="41" w16cid:durableId="50745261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50827385">
    <w:abstractNumId w:val="14"/>
  </w:num>
  <w:num w:numId="43" w16cid:durableId="1680034977">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80444-F026-4447-9271-F2DF8E901A15}">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5560</Characters>
  <Application>Microsoft Office Word</Application>
  <DocSecurity>0</DocSecurity>
  <Lines>46</Lines>
  <Paragraphs>13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Qualcomm - Chenxi</cp:lastModifiedBy>
  <cp:revision>11</cp:revision>
  <dcterms:created xsi:type="dcterms:W3CDTF">2022-08-17T03:30:00Z</dcterms:created>
  <dcterms:modified xsi:type="dcterms:W3CDTF">2022-08-17T03:36:00Z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