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217F" w14:textId="77777777" w:rsidR="0037512A" w:rsidRDefault="00802989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#110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14:paraId="344CF18F" w14:textId="77777777" w:rsidR="0037512A" w:rsidRDefault="008029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– 26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2022</w:t>
      </w:r>
    </w:p>
    <w:p w14:paraId="06DBCE6C" w14:textId="77777777" w:rsidR="0037512A" w:rsidRDefault="00802989">
      <w:pPr>
        <w:pStyle w:val="af2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398AC60C" w14:textId="77777777" w:rsidR="0037512A" w:rsidRDefault="00802989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BDC98C6" w14:textId="77777777" w:rsidR="0037512A" w:rsidRDefault="0080298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14:paraId="78DD924F" w14:textId="77777777" w:rsidR="0037512A" w:rsidRDefault="00802989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  <w:szCs w:val="24"/>
        </w:rPr>
        <w:t>Summary of Corrections for PUSCH TDRA</w:t>
      </w:r>
    </w:p>
    <w:p w14:paraId="6742CB3F" w14:textId="77777777" w:rsidR="0037512A" w:rsidRDefault="0080298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087C151E" w14:textId="77777777" w:rsidR="0037512A" w:rsidRDefault="00802989">
      <w:pPr>
        <w:pStyle w:val="1"/>
        <w:jc w:val="both"/>
      </w:pPr>
      <w:r>
        <w:t>1</w:t>
      </w:r>
      <w:r>
        <w:tab/>
        <w:t xml:space="preserve">Introduction </w:t>
      </w:r>
    </w:p>
    <w:p w14:paraId="1B42E296" w14:textId="77777777" w:rsidR="0037512A" w:rsidRDefault="00802989">
      <w:pPr>
        <w:jc w:val="both"/>
        <w:rPr>
          <w:lang w:eastAsia="ko-KR"/>
        </w:rPr>
      </w:pPr>
      <w:r>
        <w:rPr>
          <w:lang w:eastAsia="ko-KR"/>
        </w:rPr>
        <w:t>This document summarizes companies views on the corrections proposed in [1] regarding the selection of the PUSCH TDRA table.</w:t>
      </w:r>
    </w:p>
    <w:p w14:paraId="6FFB614B" w14:textId="77777777" w:rsidR="0037512A" w:rsidRDefault="00802989">
      <w:pPr>
        <w:jc w:val="both"/>
        <w:rPr>
          <w:i/>
          <w:iCs/>
          <w:lang w:eastAsia="ja-JP"/>
        </w:rPr>
      </w:pPr>
      <w:r>
        <w:rPr>
          <w:rFonts w:eastAsia="ＭＳ 明朝"/>
          <w:lang w:val="en-GB" w:eastAsia="ja-JP"/>
        </w:rPr>
        <w:t xml:space="preserve">According to [2], </w:t>
      </w:r>
      <w:r>
        <w:rPr>
          <w:i/>
          <w:iCs/>
          <w:lang w:eastAsia="ja-JP"/>
        </w:rPr>
        <w:t>pusch-TimeDomainAllocationList</w:t>
      </w:r>
      <w:r>
        <w:rPr>
          <w:lang w:eastAsia="ja-JP"/>
        </w:rPr>
        <w:t xml:space="preserve"> is not configured simultaneously with </w:t>
      </w:r>
      <w:r>
        <w:rPr>
          <w:i/>
          <w:iCs/>
          <w:lang w:eastAsia="ja-JP"/>
        </w:rPr>
        <w:t>pusch-TimeDomainAllocationListDCI-0-2-r16</w:t>
      </w:r>
      <w:r>
        <w:rPr>
          <w:lang w:eastAsia="ja-JP"/>
        </w:rPr>
        <w:t xml:space="preserve"> or </w:t>
      </w:r>
      <w:r>
        <w:rPr>
          <w:i/>
          <w:iCs/>
          <w:lang w:eastAsia="ja-JP"/>
        </w:rPr>
        <w:t>pusch-TimeDomainAllocationListDCI-0-1-r16: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 w14:paraId="227947FB" w14:textId="77777777">
        <w:tc>
          <w:tcPr>
            <w:tcW w:w="19574" w:type="dxa"/>
          </w:tcPr>
          <w:p w14:paraId="19D05B0E" w14:textId="77777777"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</w:p>
          <w:p w14:paraId="6941F5A2" w14:textId="77777777"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List of time domain allocations for timing of UL assignment to UL data (see TS 38.214 [19], table 6.1.2.1.1-1). The field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applies to DCI formats 0_0 or DCI format 0_1 when the field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is not configured (see TS 38.214 [19], table 6.1.2.1.1-1 and table 6.1.2.1.1-1A).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The network does not configure the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(without suffix) simultaneously with the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 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</w:tbl>
    <w:p w14:paraId="21CB32E4" w14:textId="77777777" w:rsidR="0037512A" w:rsidRDefault="0037512A">
      <w:pPr>
        <w:rPr>
          <w:lang w:eastAsia="ja-JP"/>
        </w:rPr>
      </w:pPr>
    </w:p>
    <w:p w14:paraId="0B6C0BFB" w14:textId="77777777" w:rsidR="0037512A" w:rsidRDefault="00802989">
      <w:pPr>
        <w:jc w:val="both"/>
        <w:rPr>
          <w:rFonts w:eastAsia="ＭＳ 明朝"/>
          <w:lang w:val="en-GB" w:eastAsia="ja-JP"/>
        </w:rPr>
      </w:pPr>
      <w:r>
        <w:rPr>
          <w:rFonts w:eastAsia="ＭＳ 明朝"/>
          <w:lang w:val="en-GB" w:eastAsia="ja-JP"/>
        </w:rPr>
        <w:t>However, in the TDRA tables provided in Section 6.1.2.1 of [3], as copied below, these constraints are not reflected:</w:t>
      </w:r>
    </w:p>
    <w:p w14:paraId="4B1443AC" w14:textId="77777777"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6.1.2.1.1-1A: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>PUSCH time 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0_1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727"/>
        <w:gridCol w:w="1973"/>
        <w:gridCol w:w="1767"/>
        <w:gridCol w:w="2093"/>
      </w:tblGrid>
      <w:tr w:rsidR="0037512A" w14:paraId="235D070A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ECC2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F10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B176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pusch-TimeDomainAllocationListDCI-0-1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BBA2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 or 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pusch-TimeDomainAllocationList-ForMultiPUSCH-17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FF6F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domain resource allocation to apply</w:t>
            </w:r>
          </w:p>
        </w:tc>
      </w:tr>
      <w:tr w:rsidR="0037512A" w14:paraId="21F5819D" w14:textId="77777777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C99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D60F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C621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C12D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7F0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 w14:paraId="2D837B17" w14:textId="77777777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309C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C2F1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4B1A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FD15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0A4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</w:p>
        </w:tc>
      </w:tr>
      <w:tr w:rsidR="0037512A" w14:paraId="30976BE1" w14:textId="77777777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F786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A52C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6C7D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D9A5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771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-Config</w:t>
            </w:r>
          </w:p>
        </w:tc>
      </w:tr>
      <w:tr w:rsidR="0037512A" w14:paraId="5AF4E708" w14:textId="77777777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688F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lastRenderedPageBreak/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1D47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F2C6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88CB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BF0C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pusch-TimeDomainAllocationListDCI-0-1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-Config</w:t>
            </w:r>
          </w:p>
        </w:tc>
      </w:tr>
      <w:tr w:rsidR="0037512A" w14:paraId="6D01A04B" w14:textId="77777777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F62D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CEC7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652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C471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EF1A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pusch-TimeDomainAllocationList-ForMultiPUSCH 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or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pusch-TimeDomainAllocationList-ForMultiPUSCH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 -17 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-Config</w:t>
            </w:r>
          </w:p>
        </w:tc>
      </w:tr>
    </w:tbl>
    <w:p w14:paraId="726F5401" w14:textId="77777777" w:rsidR="0037512A" w:rsidRDefault="00802989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 </w:t>
      </w:r>
    </w:p>
    <w:p w14:paraId="33F6A6D2" w14:textId="77777777"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6.1.2.1.1-1B: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>PUSCH time 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0_2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09"/>
        <w:gridCol w:w="2417"/>
        <w:gridCol w:w="2568"/>
      </w:tblGrid>
      <w:tr w:rsidR="0037512A" w14:paraId="40301F4A" w14:textId="77777777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94E4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B70F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982F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25D5" w14:textId="77777777"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domain resource allocation to apply</w:t>
            </w:r>
          </w:p>
        </w:tc>
      </w:tr>
      <w:tr w:rsidR="0037512A" w14:paraId="39A34D7A" w14:textId="7777777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3B98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E44E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2CA6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AB82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 w14:paraId="51C04BED" w14:textId="7777777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247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3587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6F81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A48B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  <w:proofErr w:type="spellEnd"/>
          </w:p>
        </w:tc>
      </w:tr>
      <w:tr w:rsidR="0037512A" w14:paraId="5CA5FAB8" w14:textId="7777777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9E5C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1267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D13B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C025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-Config</w:t>
            </w:r>
          </w:p>
        </w:tc>
      </w:tr>
      <w:tr w:rsidR="0037512A" w14:paraId="2298E5CE" w14:textId="7777777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5648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0882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42D6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DCE3" w14:textId="77777777"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pusch-TimeDomainAllocationListDCI-0-2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proofErr w:type="spellStart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</w:t>
            </w:r>
            <w:proofErr w:type="spellEnd"/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-Config</w:t>
            </w:r>
          </w:p>
        </w:tc>
      </w:tr>
    </w:tbl>
    <w:p w14:paraId="5EB4D4B2" w14:textId="77777777" w:rsidR="0037512A" w:rsidRDefault="00802989">
      <w:pPr>
        <w:jc w:val="both"/>
        <w:rPr>
          <w:lang w:eastAsia="ko-KR"/>
        </w:rPr>
      </w:pPr>
      <w:r>
        <w:rPr>
          <w:rFonts w:eastAsia="ＭＳ 明朝"/>
          <w:lang w:val="en-GB" w:eastAsia="ja-JP"/>
        </w:rPr>
        <w:t xml:space="preserve"> </w:t>
      </w:r>
    </w:p>
    <w:p w14:paraId="5A5087BB" w14:textId="77777777" w:rsidR="0037512A" w:rsidRDefault="00802989">
      <w:pPr>
        <w:pStyle w:val="1"/>
        <w:ind w:left="0" w:firstLine="0"/>
        <w:jc w:val="both"/>
      </w:pPr>
      <w:r>
        <w:t>2         Proposals and Summary of Views</w:t>
      </w:r>
    </w:p>
    <w:p w14:paraId="5E73ED52" w14:textId="77777777" w:rsidR="0037512A" w:rsidRDefault="00802989">
      <w:pPr>
        <w:jc w:val="both"/>
        <w:rPr>
          <w:lang w:eastAsia="ko-KR"/>
        </w:rPr>
      </w:pPr>
      <w:r>
        <w:rPr>
          <w:b/>
          <w:bCs/>
          <w:lang w:eastAsia="ko-KR"/>
        </w:rPr>
        <w:t>Question #1:</w:t>
      </w:r>
      <w:r>
        <w:rPr>
          <w:lang w:eastAsia="ko-KR"/>
        </w:rPr>
        <w:t xml:space="preserve"> To align the RAN1 specification with the constraint set in [2], do you agree with the following modifications:</w:t>
      </w:r>
    </w:p>
    <w:p w14:paraId="20643B35" w14:textId="77777777" w:rsidR="0037512A" w:rsidRDefault="00802989">
      <w:pPr>
        <w:rPr>
          <w:rFonts w:ascii="Calibri" w:eastAsia="ＭＳ 明朝" w:hAnsi="Calibri" w:cs="Calibri"/>
          <w:b/>
          <w:bCs/>
          <w:lang w:eastAsia="ja-JP"/>
        </w:rPr>
      </w:pPr>
      <w:r>
        <w:rPr>
          <w:rFonts w:ascii="Calibri" w:eastAsia="ＭＳ 明朝" w:hAnsi="Calibri" w:cs="Calibri"/>
          <w:b/>
          <w:bCs/>
          <w:lang w:eastAsia="ja-JP"/>
        </w:rPr>
        <w:t>TP to TS38.214, Section 6.1.2.1 (Rel-16):</w:t>
      </w:r>
    </w:p>
    <w:p w14:paraId="4040209E" w14:textId="77777777" w:rsidR="0037512A" w:rsidRDefault="00802989">
      <w:pPr>
        <w:rPr>
          <w:rFonts w:ascii="Calibri" w:eastAsia="ＭＳ 明朝" w:hAnsi="Calibri" w:cs="Calibri"/>
          <w:b/>
          <w:bCs/>
          <w:lang w:eastAsia="ja-JP"/>
        </w:rPr>
      </w:pPr>
      <w:r>
        <w:rPr>
          <w:rFonts w:ascii="Calibri" w:eastAsia="ＭＳ 明朝" w:hAnsi="Calibri" w:cs="Calibri"/>
          <w:b/>
          <w:bCs/>
          <w:lang w:eastAsia="ja-JP"/>
        </w:rPr>
        <w:t>Reasons for change:</w:t>
      </w:r>
      <w:r>
        <w:rPr>
          <w:rFonts w:ascii="Calibri" w:eastAsia="ＭＳ 明朝" w:hAnsi="Calibri" w:cs="Calibri"/>
          <w:lang w:eastAsia="ja-JP"/>
        </w:rPr>
        <w:t xml:space="preserve"> Disparity between the TDRA configuration constraints between TS 38.331 and TS 38.214.</w:t>
      </w:r>
      <w:r>
        <w:rPr>
          <w:rFonts w:ascii="Calibri" w:eastAsia="ＭＳ 明朝" w:hAnsi="Calibri" w:cs="Calibri"/>
          <w:b/>
          <w:bCs/>
          <w:lang w:eastAsia="ja-JP"/>
        </w:rPr>
        <w:t xml:space="preserve"> </w:t>
      </w:r>
    </w:p>
    <w:p w14:paraId="7730285C" w14:textId="77777777" w:rsidR="0037512A" w:rsidRDefault="00802989">
      <w:pPr>
        <w:rPr>
          <w:rFonts w:ascii="Calibri" w:eastAsia="ＭＳ 明朝" w:hAnsi="Calibri" w:cs="Calibri"/>
          <w:b/>
          <w:bCs/>
          <w:lang w:eastAsia="ja-JP"/>
        </w:rPr>
      </w:pPr>
      <w:r>
        <w:rPr>
          <w:rFonts w:ascii="Calibri" w:eastAsia="ＭＳ 明朝" w:hAnsi="Calibri" w:cs="Calibri"/>
          <w:b/>
          <w:bCs/>
          <w:lang w:eastAsia="ja-JP"/>
        </w:rPr>
        <w:t xml:space="preserve">Summary of change: </w:t>
      </w:r>
      <w:r>
        <w:rPr>
          <w:rFonts w:ascii="Calibri" w:eastAsia="ＭＳ 明朝" w:hAnsi="Calibri" w:cs="Calibri"/>
          <w:lang w:eastAsia="ja-JP"/>
        </w:rPr>
        <w:t>Apply the configuration limitation of TS 38.331.</w:t>
      </w:r>
    </w:p>
    <w:p w14:paraId="0D893EE5" w14:textId="77777777" w:rsidR="0037512A" w:rsidRDefault="00802989">
      <w:pPr>
        <w:rPr>
          <w:rFonts w:ascii="Calibri" w:eastAsia="ＭＳ 明朝" w:hAnsi="Calibri" w:cs="Calibri"/>
          <w:lang w:eastAsia="ja-JP"/>
        </w:rPr>
      </w:pPr>
      <w:r>
        <w:rPr>
          <w:rFonts w:ascii="Calibri" w:eastAsia="ＭＳ 明朝" w:hAnsi="Calibri" w:cs="Calibri"/>
          <w:b/>
          <w:bCs/>
          <w:lang w:eastAsia="ja-JP"/>
        </w:rPr>
        <w:t xml:space="preserve">Consequence if not adopted: </w:t>
      </w:r>
      <w:r>
        <w:rPr>
          <w:rFonts w:ascii="Calibri" w:eastAsia="ＭＳ 明朝" w:hAnsi="Calibri" w:cs="Calibri"/>
          <w:lang w:eastAsia="ja-JP"/>
        </w:rPr>
        <w:t xml:space="preserve">UE behavior is unclear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 w14:paraId="0E68EA24" w14:textId="77777777">
        <w:tc>
          <w:tcPr>
            <w:tcW w:w="19574" w:type="dxa"/>
          </w:tcPr>
          <w:p w14:paraId="653E9934" w14:textId="77777777"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6.1.2.1.1-1A: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allocation for DCI format 0_1 in UE specific search space scrambled with 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1687"/>
              <w:gridCol w:w="1927"/>
              <w:gridCol w:w="1726"/>
              <w:gridCol w:w="2044"/>
            </w:tblGrid>
            <w:tr w:rsidR="0037512A" w14:paraId="742D00C7" w14:textId="77777777"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83AB5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0EAEC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1504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186E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pusch-TimeDomainAllocationList-ForMultiPUSCH 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or 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pusch-TimeDomainAllocationList-ForMultiPUSCH-17</w:t>
                  </w:r>
                </w:p>
              </w:tc>
              <w:tc>
                <w:tcPr>
                  <w:tcW w:w="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9D3E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PUSCH time domain resource allocation to apply</w:t>
                  </w:r>
                </w:p>
              </w:tc>
            </w:tr>
            <w:tr w:rsidR="0037512A" w14:paraId="5F2151BD" w14:textId="77777777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3C767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5B70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B3DB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B7BD5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A790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 w14:paraId="56643914" w14:textId="77777777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99DD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94DAC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59008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366DD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DEB9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</w:p>
              </w:tc>
            </w:tr>
            <w:tr w:rsidR="0037512A" w14:paraId="381D6F41" w14:textId="77777777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E8EB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57273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45E33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E9BC1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9EAB1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</w:p>
              </w:tc>
            </w:tr>
            <w:tr w:rsidR="0037512A" w14:paraId="565238CB" w14:textId="77777777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1DA1E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99201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319CA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123AB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1FCF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</w:p>
              </w:tc>
            </w:tr>
            <w:tr w:rsidR="0037512A" w14:paraId="07D94FA4" w14:textId="77777777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9975E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0BFE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EB0B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E7EB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F7C87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pusch-TimeDomainAllocationList-ForMultiPUSCH 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or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 -17 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-Config</w:t>
                  </w:r>
                </w:p>
              </w:tc>
            </w:tr>
          </w:tbl>
          <w:p w14:paraId="36D0FF26" w14:textId="77777777" w:rsidR="0037512A" w:rsidRDefault="0080298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GB"/>
              </w:rPr>
              <w:t> </w:t>
            </w:r>
          </w:p>
          <w:p w14:paraId="0AD933F8" w14:textId="77777777"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6.1.2.1.1-1B: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allocation for DCI format 0_2 in UE specific search space scrambled with 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2060"/>
              <w:gridCol w:w="2360"/>
              <w:gridCol w:w="2507"/>
            </w:tblGrid>
            <w:tr w:rsidR="0037512A" w14:paraId="142FDE1E" w14:textId="77777777"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AB586E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C5BA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54B38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3819A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PUSCH time domain resource allocation to apply</w:t>
                  </w:r>
                </w:p>
              </w:tc>
            </w:tr>
            <w:tr w:rsidR="0037512A" w14:paraId="7B33BB05" w14:textId="77777777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8F15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EE17B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D0DD6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8C900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 w14:paraId="623DF882" w14:textId="77777777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AAD9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286F1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FCCE0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39AFF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proofErr w:type="spellEnd"/>
                </w:p>
              </w:tc>
            </w:tr>
            <w:tr w:rsidR="0037512A" w14:paraId="66611564" w14:textId="77777777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38530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98D35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AED0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38639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</w:p>
              </w:tc>
            </w:tr>
            <w:tr w:rsidR="0037512A" w14:paraId="552EDF0F" w14:textId="77777777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E919E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A530A4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7E00B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ABF03" w14:textId="77777777"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proofErr w:type="spellStart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proofErr w:type="spellEnd"/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-Config</w:t>
                  </w:r>
                </w:p>
              </w:tc>
            </w:tr>
          </w:tbl>
          <w:p w14:paraId="023034DE" w14:textId="77777777" w:rsidR="0037512A" w:rsidRDefault="0037512A">
            <w:pPr>
              <w:rPr>
                <w:rFonts w:ascii="Calibri" w:eastAsia="ＭＳ 明朝" w:hAnsi="Calibri" w:cs="Calibri"/>
                <w:lang w:eastAsia="ja-JP"/>
              </w:rPr>
            </w:pPr>
          </w:p>
        </w:tc>
      </w:tr>
    </w:tbl>
    <w:p w14:paraId="69EB111D" w14:textId="77777777" w:rsidR="0037512A" w:rsidRDefault="0037512A">
      <w:pPr>
        <w:jc w:val="both"/>
        <w:rPr>
          <w:lang w:eastAsia="ko-KR"/>
        </w:rPr>
      </w:pPr>
    </w:p>
    <w:p w14:paraId="79FC728D" w14:textId="77777777" w:rsidR="0037512A" w:rsidRDefault="0037512A">
      <w:pPr>
        <w:jc w:val="both"/>
        <w:rPr>
          <w:lang w:eastAsia="ko-KR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6214"/>
      </w:tblGrid>
      <w:tr w:rsidR="0037512A" w14:paraId="5B21FE51" w14:textId="77777777">
        <w:tc>
          <w:tcPr>
            <w:tcW w:w="2065" w:type="dxa"/>
          </w:tcPr>
          <w:p w14:paraId="64C39670" w14:textId="77777777"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350" w:type="dxa"/>
          </w:tcPr>
          <w:p w14:paraId="3E6F3369" w14:textId="77777777"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214" w:type="dxa"/>
          </w:tcPr>
          <w:p w14:paraId="4B140C20" w14:textId="77777777"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37512A" w14:paraId="18C43641" w14:textId="77777777">
        <w:tc>
          <w:tcPr>
            <w:tcW w:w="2065" w:type="dxa"/>
          </w:tcPr>
          <w:p w14:paraId="42264956" w14:textId="77777777"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350" w:type="dxa"/>
          </w:tcPr>
          <w:p w14:paraId="51D82EE6" w14:textId="77777777"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>Yes for 0_1</w:t>
            </w:r>
            <w:r>
              <w:rPr>
                <w:lang w:eastAsia="ko-KR"/>
              </w:rPr>
              <w:br/>
              <w:t xml:space="preserve">No for 0_2 </w:t>
            </w:r>
          </w:p>
        </w:tc>
        <w:tc>
          <w:tcPr>
            <w:tcW w:w="6214" w:type="dxa"/>
          </w:tcPr>
          <w:p w14:paraId="6D8C1268" w14:textId="77777777" w:rsidR="0037512A" w:rsidRPr="00014C0C" w:rsidRDefault="00802989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lang w:eastAsia="ko-KR"/>
              </w:rPr>
              <w:t xml:space="preserve">It is unclear to us, why we actually are not able to operate DCI format 0_2 with a smaller set of TDRA entries (configured specifically for 0_2) and not operate 0_1 with the TDRA table from Rel-15 in </w:t>
            </w:r>
            <w:proofErr w:type="spellStart"/>
            <w:r>
              <w:rPr>
                <w:lang w:eastAsia="ko-KR"/>
              </w:rPr>
              <w:t>pusch</w:t>
            </w:r>
            <w:proofErr w:type="spellEnd"/>
            <w:r>
              <w:rPr>
                <w:lang w:eastAsia="ko-KR"/>
              </w:rPr>
              <w:t>-config</w:t>
            </w:r>
            <w:r>
              <w:rPr>
                <w:lang w:eastAsia="ko-KR"/>
              </w:rPr>
              <w:br/>
            </w:r>
            <w:r>
              <w:rPr>
                <w:lang w:eastAsia="ko-KR"/>
              </w:rPr>
              <w:br/>
              <w:t xml:space="preserve">i.e. we don’t see why the 38.331 does not allow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  <w:lang w:val="de-AT"/>
              </w:rPr>
              <w:t xml:space="preserve"> </w:t>
            </w:r>
            <w:r>
              <w:rPr>
                <w:rFonts w:eastAsia="Times New Roman"/>
                <w:color w:val="000000"/>
                <w:lang w:val="de-AT"/>
              </w:rPr>
              <w:t xml:space="preserve">if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pusch-TimeDomainAllocationListDCI-0-2</w:t>
            </w:r>
          </w:p>
          <w:p w14:paraId="31AB0C5B" w14:textId="77777777" w:rsidR="0037512A" w:rsidRDefault="00802989">
            <w:pPr>
              <w:rPr>
                <w:lang w:val="de-AT"/>
              </w:rPr>
            </w:pPr>
            <w:r>
              <w:rPr>
                <w:lang w:val="de-AT"/>
              </w:rPr>
              <w:t xml:space="preserve">So we are questioning if this unnecessary restriction should not be removed from 38.331 – i.e. </w:t>
            </w:r>
          </w:p>
          <w:p w14:paraId="0A05BA2E" w14:textId="77777777" w:rsidR="0037512A" w:rsidRDefault="00802989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The network does not configure the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(without suffix) simultaneously with 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the </w:t>
            </w:r>
            <w:r>
              <w:rPr>
                <w:rFonts w:ascii="Arial" w:eastAsia="Times New Roman" w:hAnsi="Arial" w:cs="Arial"/>
                <w:i/>
                <w:iCs/>
                <w:strike/>
                <w:color w:val="FF0000"/>
                <w:sz w:val="18"/>
                <w:szCs w:val="18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val="en-GB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tr w:rsidR="0037512A" w14:paraId="24788E10" w14:textId="77777777">
        <w:tc>
          <w:tcPr>
            <w:tcW w:w="2065" w:type="dxa"/>
          </w:tcPr>
          <w:p w14:paraId="3A62104A" w14:textId="77777777"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</w:t>
            </w:r>
            <w:r>
              <w:rPr>
                <w:rFonts w:eastAsiaTheme="minorEastAsia"/>
                <w:lang w:eastAsia="ko-KR"/>
              </w:rPr>
              <w:t>amsung</w:t>
            </w:r>
          </w:p>
        </w:tc>
        <w:tc>
          <w:tcPr>
            <w:tcW w:w="1350" w:type="dxa"/>
          </w:tcPr>
          <w:p w14:paraId="5F17B4F5" w14:textId="77777777"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</w:p>
        </w:tc>
        <w:tc>
          <w:tcPr>
            <w:tcW w:w="6214" w:type="dxa"/>
          </w:tcPr>
          <w:p w14:paraId="2B85FF2F" w14:textId="77777777"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In 38.212, there are rules to determine TDRA field size based on RRC configuration as follows. So, there is no issue even if both RRC parameters are configured for 0_1/0_2 according to 214 specification. Therefore, current restriction specified in 38.331 is not necessary.  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5988"/>
            </w:tblGrid>
            <w:tr w:rsidR="0037512A" w14:paraId="3D0BE085" w14:textId="77777777">
              <w:tc>
                <w:tcPr>
                  <w:tcW w:w="5988" w:type="dxa"/>
                </w:tcPr>
                <w:p w14:paraId="4E9B824B" w14:textId="77777777" w:rsidR="0037512A" w:rsidRDefault="00802989">
                  <w:pPr>
                    <w:rPr>
                      <w:rFonts w:eastAsiaTheme="minorEastAsia"/>
                      <w:b/>
                      <w:lang w:eastAsia="ko-KR"/>
                    </w:rPr>
                  </w:pPr>
                  <w:r>
                    <w:rPr>
                      <w:rFonts w:eastAsiaTheme="minorEastAsia"/>
                      <w:b/>
                      <w:lang w:eastAsia="ko-KR"/>
                    </w:rPr>
                    <w:t>1)</w:t>
                  </w:r>
                  <w:r>
                    <w:rPr>
                      <w:rFonts w:eastAsiaTheme="minorEastAsia" w:hint="eastAsia"/>
                      <w:b/>
                      <w:lang w:eastAsia="ko-KR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lang w:eastAsia="ko-KR"/>
                    </w:rPr>
                    <w:t xml:space="preserve">DCI format 0_1 </w:t>
                  </w:r>
                </w:p>
                <w:p w14:paraId="3EE25761" w14:textId="77777777"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Time domain resource assignment – 0, 1, 2, 3, 4, 5, or 6 bits </w:t>
                  </w:r>
                </w:p>
                <w:p w14:paraId="0C3EFFCE" w14:textId="77777777"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not configured</w:t>
                  </w:r>
                  <w:r>
                    <w:rPr>
                      <w:color w:val="000000"/>
                    </w:rPr>
                    <w:t xml:space="preserve"> and if the higher layer parameter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pusch-TimeDomainAllocationListForMultiPUSCH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is not configured and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, 0, 1, 2, 3, or 4 bits as defined in Clause 6.1.2.1 of [6, TS38.214].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 w14:paraId="67E833F6" w14:textId="77777777"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 or if the higher layer parameter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pusch-TimeDomainAllocationListForMultiPUSCH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is configured</w:t>
                  </w:r>
                  <w:r>
                    <w:rPr>
                      <w:color w:val="000000"/>
                    </w:rPr>
                    <w:t xml:space="preserve">, 0, 1, 2, 3, 4, 5 or 6 bits as defined in Clause 6.1.2.1 of [6, TS38.214].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 xml:space="preserve">pusch-TimeDomainAllocationListDCI-0-1 </w:t>
                  </w:r>
                  <w:r>
                    <w:rPr>
                      <w:color w:val="000000"/>
                    </w:rPr>
                    <w:t xml:space="preserve">or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pusch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TimeDomainAllocationListForMultiPUSCH</w:t>
                  </w:r>
                  <w:proofErr w:type="spellEnd"/>
                  <w:r>
                    <w:rPr>
                      <w:color w:val="000000"/>
                    </w:rPr>
                    <w:t xml:space="preserve">; </w:t>
                  </w:r>
                </w:p>
                <w:p w14:paraId="521E5210" w14:textId="77777777" w:rsidR="0037512A" w:rsidRDefault="00802989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proofErr w:type="gramStart"/>
                  <w:r>
                    <w:rPr>
                      <w:color w:val="000000"/>
                      <w:highlight w:val="yellow"/>
                    </w:rPr>
                    <w:t>otherwise</w:t>
                  </w:r>
                  <w:proofErr w:type="gramEnd"/>
                  <w:r>
                    <w:rPr>
                      <w:color w:val="000000"/>
                    </w:rPr>
                    <w:t xml:space="preserve"> the </w:t>
                  </w:r>
                  <w:proofErr w:type="spellStart"/>
                  <w:r>
                    <w:rPr>
                      <w:color w:val="000000"/>
                    </w:rPr>
                    <w:t>bitwidth</w:t>
                  </w:r>
                  <w:proofErr w:type="spellEnd"/>
                  <w:r>
                    <w:rPr>
                      <w:color w:val="000000"/>
                    </w:rP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>is the number of entries in the default table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</w:p>
                <w:p w14:paraId="703F06A7" w14:textId="77777777" w:rsidR="0037512A" w:rsidRDefault="00802989">
                  <w:pPr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2) DCI format 0_2</w:t>
                  </w:r>
                </w:p>
                <w:p w14:paraId="3CEF2283" w14:textId="77777777" w:rsidR="0037512A" w:rsidRDefault="00802989">
                  <w:pPr>
                    <w:rPr>
                      <w:rFonts w:eastAsiaTheme="minorEastAsia"/>
                      <w:lang w:eastAsia="ko-KR"/>
                    </w:rPr>
                  </w:pPr>
                  <w:r>
                    <w:t xml:space="preserve">- Time domain resource assignment – 0, 1, 2, 3, 4, 5 or 6 bits as defined in Clause 6.1.2.1 of [6, TS38.214]. The </w:t>
                  </w:r>
                  <w:proofErr w:type="spellStart"/>
                  <w:r>
                    <w:t>bitwidth</w:t>
                  </w:r>
                  <w:proofErr w:type="spellEnd"/>
                  <w:r>
                    <w:t xml:space="preserve"> for this field is determined as </w:t>
                  </w:r>
                  <w:r>
                    <w:rPr>
                      <w:rFonts w:ascii="Cambria Math" w:hAnsi="Cambria Math" w:cs="Cambria Math"/>
                    </w:rPr>
                    <w:t>⌈log</w:t>
                  </w:r>
                  <w:r>
                    <w:rPr>
                      <w:rFonts w:ascii="Cambria Math" w:hAnsi="Cambria Math" w:cs="Cambria Math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</w:rPr>
                    <w:t xml:space="preserve">(𝐼)⌉ </w:t>
                  </w:r>
                  <w:r>
                    <w:t xml:space="preserve">bits, where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 xml:space="preserve">if the higher </w:t>
                  </w:r>
                  <w:r>
                    <w:rPr>
                      <w:highlight w:val="yellow"/>
                    </w:rPr>
                    <w:lastRenderedPageBreak/>
                    <w:t>layer parameter is configured</w:t>
                  </w:r>
                  <w:r>
                    <w:t xml:space="preserve">, or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>PUSCH-</w:t>
                  </w:r>
                  <w:proofErr w:type="spellStart"/>
                  <w:r>
                    <w:rPr>
                      <w:i/>
                      <w:iCs/>
                      <w:highlight w:val="yellow"/>
                    </w:rPr>
                    <w:t>TimeDomainResourceAllocationList</w:t>
                  </w:r>
                  <w:proofErr w:type="spellEnd"/>
                  <w:r>
                    <w:rPr>
                      <w:i/>
                      <w:iCs/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if the higher layer parameter </w:t>
                  </w:r>
                  <w:r>
                    <w:rPr>
                      <w:i/>
                      <w:iCs/>
                      <w:highlight w:val="yellow"/>
                    </w:rPr>
                    <w:t>PUSCH-</w:t>
                  </w:r>
                  <w:proofErr w:type="spellStart"/>
                  <w:r>
                    <w:rPr>
                      <w:i/>
                      <w:iCs/>
                      <w:highlight w:val="yellow"/>
                    </w:rPr>
                    <w:t>TimeDomainResourceAllocationList</w:t>
                  </w:r>
                  <w:proofErr w:type="spellEnd"/>
                  <w:r>
                    <w:rPr>
                      <w:i/>
                      <w:iCs/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is configured and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>is not configured</w:t>
                  </w:r>
                  <w:r>
                    <w:t xml:space="preserve">; otherwise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>is the number of entries in the default table</w:t>
                  </w:r>
                  <w:r>
                    <w:rPr>
                      <w:i/>
                      <w:iCs/>
                    </w:rPr>
                    <w:t>.</w:t>
                  </w:r>
                </w:p>
              </w:tc>
            </w:tr>
          </w:tbl>
          <w:p w14:paraId="0BB11B7F" w14:textId="77777777" w:rsidR="0037512A" w:rsidRDefault="0037512A">
            <w:pPr>
              <w:rPr>
                <w:rFonts w:eastAsiaTheme="minorEastAsia"/>
                <w:lang w:eastAsia="ko-KR"/>
              </w:rPr>
            </w:pPr>
          </w:p>
        </w:tc>
      </w:tr>
      <w:tr w:rsidR="0037512A" w14:paraId="3CD59A20" w14:textId="77777777">
        <w:tc>
          <w:tcPr>
            <w:tcW w:w="2065" w:type="dxa"/>
          </w:tcPr>
          <w:p w14:paraId="3FEEB4C2" w14:textId="77777777"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1350" w:type="dxa"/>
          </w:tcPr>
          <w:p w14:paraId="4399521D" w14:textId="77777777"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214" w:type="dxa"/>
          </w:tcPr>
          <w:p w14:paraId="6BF001FE" w14:textId="77777777" w:rsidR="0037512A" w:rsidRDefault="00802989">
            <w:r>
              <w:rPr>
                <w:rFonts w:hint="eastAsia"/>
                <w:lang w:eastAsia="zh-CN"/>
              </w:rPr>
              <w:t>The two tables (</w:t>
            </w:r>
            <w:r w:rsidRPr="00014C0C">
              <w:rPr>
                <w:rFonts w:hint="eastAsia"/>
                <w:lang w:eastAsia="zh-CN"/>
              </w:rPr>
              <w:t>Table 6.1.2.1.1-1A</w:t>
            </w:r>
            <w:r>
              <w:rPr>
                <w:rFonts w:hint="eastAsia"/>
                <w:lang w:eastAsia="zh-CN"/>
              </w:rPr>
              <w:t xml:space="preserve">/B) are actually to define which TDRA table to be used when multiple TDRA tables are available. So, it seems the current restriction in 38.331 is unnecessary. </w:t>
            </w:r>
          </w:p>
          <w:p w14:paraId="718956D8" w14:textId="77777777"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Even i</w:t>
            </w:r>
            <w:r>
              <w:rPr>
                <w:rFonts w:hint="eastAsia"/>
              </w:rPr>
              <w:t>f we follow the configuration restriction in 38.331, should we also need to delete the </w:t>
            </w:r>
            <w:r>
              <w:rPr>
                <w:rFonts w:hint="eastAsia"/>
              </w:rPr>
              <w:t>‘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 in the first column of the concerned row? </w:t>
            </w:r>
          </w:p>
        </w:tc>
      </w:tr>
      <w:tr w:rsidR="00014C0C" w14:paraId="6A3220C6" w14:textId="77777777">
        <w:tc>
          <w:tcPr>
            <w:tcW w:w="2065" w:type="dxa"/>
          </w:tcPr>
          <w:p w14:paraId="698688A0" w14:textId="77777777" w:rsidR="00014C0C" w:rsidRDefault="00014C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1350" w:type="dxa"/>
          </w:tcPr>
          <w:p w14:paraId="69345B82" w14:textId="77777777" w:rsidR="00014C0C" w:rsidRDefault="00014C0C">
            <w:pPr>
              <w:rPr>
                <w:lang w:eastAsia="zh-CN"/>
              </w:rPr>
            </w:pPr>
          </w:p>
        </w:tc>
        <w:tc>
          <w:tcPr>
            <w:tcW w:w="6214" w:type="dxa"/>
          </w:tcPr>
          <w:p w14:paraId="18A76DF5" w14:textId="77777777" w:rsidR="00014C0C" w:rsidRDefault="00014C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Nokia.</w:t>
            </w:r>
          </w:p>
        </w:tc>
      </w:tr>
      <w:tr w:rsidR="003756BE" w14:paraId="47189465" w14:textId="77777777">
        <w:tc>
          <w:tcPr>
            <w:tcW w:w="2065" w:type="dxa"/>
          </w:tcPr>
          <w:p w14:paraId="202044CB" w14:textId="77777777"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350" w:type="dxa"/>
          </w:tcPr>
          <w:p w14:paraId="10FBD2B3" w14:textId="77777777"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214" w:type="dxa"/>
          </w:tcPr>
          <w:p w14:paraId="27CEE449" w14:textId="77777777" w:rsidR="003756BE" w:rsidRDefault="003756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imilar view as Samsung and ZTE</w:t>
            </w:r>
          </w:p>
        </w:tc>
      </w:tr>
      <w:tr w:rsidR="002C11B4" w14:paraId="3B14B7CE" w14:textId="77777777">
        <w:tc>
          <w:tcPr>
            <w:tcW w:w="2065" w:type="dxa"/>
          </w:tcPr>
          <w:p w14:paraId="1501B24C" w14:textId="77777777" w:rsidR="002C11B4" w:rsidRDefault="002C11B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HiSilicon </w:t>
            </w:r>
          </w:p>
        </w:tc>
        <w:tc>
          <w:tcPr>
            <w:tcW w:w="1350" w:type="dxa"/>
          </w:tcPr>
          <w:p w14:paraId="7D21CBA6" w14:textId="77777777" w:rsidR="002C11B4" w:rsidRDefault="002C11B4">
            <w:pPr>
              <w:rPr>
                <w:lang w:eastAsia="zh-CN"/>
              </w:rPr>
            </w:pPr>
          </w:p>
        </w:tc>
        <w:tc>
          <w:tcPr>
            <w:tcW w:w="6214" w:type="dxa"/>
          </w:tcPr>
          <w:p w14:paraId="148E886F" w14:textId="77777777" w:rsidR="002C11B4" w:rsidRPr="00BC250C" w:rsidRDefault="00BC250C" w:rsidP="00F3594C">
            <w:pPr>
              <w:rPr>
                <w:rFonts w:eastAsia="DengXian"/>
                <w:i/>
                <w:iCs/>
                <w:color w:val="000000"/>
                <w:lang w:eastAsia="zh-CN"/>
              </w:rPr>
            </w:pPr>
            <w:r>
              <w:rPr>
                <w:lang w:eastAsia="zh-CN"/>
              </w:rPr>
              <w:t xml:space="preserve">The main issue here is that there is inconsistence between 38.331 and 38.214, thus either changing 331 or 38.214 is fine. From RAN1 specification perspective, as long as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C250C">
              <w:rPr>
                <w:rFonts w:eastAsia="Times New Roman"/>
                <w:iCs/>
                <w:color w:val="000000"/>
              </w:rPr>
              <w:t>with</w:t>
            </w:r>
            <w:r>
              <w:rPr>
                <w:rFonts w:eastAsia="Times New Roman"/>
                <w:iCs/>
                <w:color w:val="000000"/>
              </w:rPr>
              <w:t xml:space="preserve"> </w:t>
            </w:r>
            <w:r>
              <w:rPr>
                <w:lang w:eastAsia="zh-CN"/>
              </w:rPr>
              <w:t>suffix is configured, then the one without suffix</w:t>
            </w:r>
            <w:r w:rsidR="00F3594C">
              <w:rPr>
                <w:lang w:eastAsia="zh-CN"/>
              </w:rPr>
              <w:t xml:space="preserve"> will not be used anyway, therefore it looks like that the restriction in 331 makes sense, so we slightly prefer to make the change for TS 38.214. </w:t>
            </w:r>
          </w:p>
        </w:tc>
      </w:tr>
      <w:tr w:rsidR="0053601E" w14:paraId="66801869" w14:textId="77777777">
        <w:tc>
          <w:tcPr>
            <w:tcW w:w="2065" w:type="dxa"/>
          </w:tcPr>
          <w:p w14:paraId="078B2B2F" w14:textId="44B91ABB" w:rsidR="0053601E" w:rsidRPr="0053601E" w:rsidRDefault="0053601E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350" w:type="dxa"/>
          </w:tcPr>
          <w:p w14:paraId="01045FBA" w14:textId="0C0D296C" w:rsidR="0053601E" w:rsidRPr="0053601E" w:rsidRDefault="0053601E">
            <w:pPr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o</w:t>
            </w:r>
          </w:p>
        </w:tc>
        <w:tc>
          <w:tcPr>
            <w:tcW w:w="6214" w:type="dxa"/>
          </w:tcPr>
          <w:p w14:paraId="1FD91825" w14:textId="7E58B378" w:rsidR="0053601E" w:rsidRPr="0053601E" w:rsidRDefault="0053601E" w:rsidP="00F3594C">
            <w:pPr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</w:t>
            </w:r>
            <w:r>
              <w:rPr>
                <w:rFonts w:eastAsia="游明朝"/>
                <w:lang w:eastAsia="ja-JP"/>
              </w:rPr>
              <w:t>imilar view with Samsung.</w:t>
            </w:r>
          </w:p>
        </w:tc>
      </w:tr>
    </w:tbl>
    <w:p w14:paraId="24DC3D7E" w14:textId="77777777" w:rsidR="0037512A" w:rsidRDefault="0037512A">
      <w:pPr>
        <w:jc w:val="both"/>
        <w:rPr>
          <w:lang w:eastAsia="ko-KR"/>
        </w:rPr>
      </w:pPr>
    </w:p>
    <w:p w14:paraId="302FD494" w14:textId="77777777" w:rsidR="0037512A" w:rsidRDefault="0037512A">
      <w:pPr>
        <w:rPr>
          <w:lang w:val="en-GB"/>
        </w:rPr>
      </w:pPr>
    </w:p>
    <w:p w14:paraId="35FB0862" w14:textId="77777777" w:rsidR="0037512A" w:rsidRDefault="00802989">
      <w:pPr>
        <w:pStyle w:val="1"/>
        <w:ind w:left="0" w:firstLine="0"/>
        <w:jc w:val="both"/>
      </w:pPr>
      <w:r>
        <w:t>3        Summary</w:t>
      </w:r>
    </w:p>
    <w:p w14:paraId="7A7D708A" w14:textId="77777777" w:rsidR="0037512A" w:rsidRDefault="00802989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39534F46" w14:textId="77777777" w:rsidR="0037512A" w:rsidRDefault="00802989">
      <w:pPr>
        <w:pStyle w:val="1"/>
        <w:ind w:left="0" w:firstLine="0"/>
        <w:jc w:val="both"/>
      </w:pPr>
      <w:r>
        <w:t>4        References</w:t>
      </w:r>
    </w:p>
    <w:p w14:paraId="4C15150F" w14:textId="77777777"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[1] R1-2207172, “</w:t>
      </w:r>
      <w:r>
        <w:rPr>
          <w:b/>
          <w:bCs/>
          <w:i/>
          <w:iCs/>
          <w:lang w:val="en-GB"/>
        </w:rPr>
        <w:t xml:space="preserve">Maintenance for R16 </w:t>
      </w:r>
      <w:proofErr w:type="spellStart"/>
      <w:r>
        <w:rPr>
          <w:b/>
          <w:bCs/>
          <w:i/>
          <w:iCs/>
          <w:lang w:val="en-GB"/>
        </w:rPr>
        <w:t>eURLLC</w:t>
      </w:r>
      <w:proofErr w:type="spellEnd"/>
      <w:r>
        <w:rPr>
          <w:b/>
          <w:bCs/>
          <w:lang w:val="en-GB"/>
        </w:rPr>
        <w:t>,” Qualcomm</w:t>
      </w:r>
    </w:p>
    <w:p w14:paraId="5FD5B81D" w14:textId="77777777"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[2] TS 38.331, “Radio Resource Control (RRC) protocol specification”</w:t>
      </w:r>
    </w:p>
    <w:p w14:paraId="25051E4F" w14:textId="77777777"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[3] TS 38.214, “Physical layer procedures for data”</w:t>
      </w:r>
    </w:p>
    <w:p w14:paraId="50687425" w14:textId="77777777" w:rsidR="0037512A" w:rsidRDefault="0037512A">
      <w:pPr>
        <w:rPr>
          <w:b/>
          <w:bCs/>
          <w:lang w:val="en-GB"/>
        </w:rPr>
      </w:pPr>
    </w:p>
    <w:p w14:paraId="523C992A" w14:textId="77777777" w:rsidR="0037512A" w:rsidRDefault="0037512A">
      <w:pPr>
        <w:rPr>
          <w:b/>
          <w:bCs/>
          <w:lang w:val="en-GB"/>
        </w:rPr>
      </w:pPr>
    </w:p>
    <w:sectPr w:rsidR="0037512A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BEB7" w14:textId="77777777" w:rsidR="00A76F72" w:rsidRDefault="00A76F72">
      <w:pPr>
        <w:spacing w:after="0"/>
      </w:pPr>
      <w:r>
        <w:separator/>
      </w:r>
    </w:p>
  </w:endnote>
  <w:endnote w:type="continuationSeparator" w:id="0">
    <w:p w14:paraId="22E0B388" w14:textId="77777777" w:rsidR="00A76F72" w:rsidRDefault="00A7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"/>
    <w:charset w:val="00"/>
    <w:family w:val="roman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E8E" w14:textId="77777777" w:rsidR="0037512A" w:rsidRDefault="00802989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6FB0D29" w14:textId="77777777" w:rsidR="0037512A" w:rsidRDefault="0037512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BF70" w14:textId="77777777" w:rsidR="0037512A" w:rsidRDefault="00802989">
    <w:pPr>
      <w:pStyle w:val="ae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F3594C">
      <w:rPr>
        <w:rStyle w:val="af7"/>
        <w:noProof/>
      </w:rPr>
      <w:t>4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F3594C">
      <w:rPr>
        <w:rStyle w:val="af7"/>
        <w:noProof/>
      </w:rPr>
      <w:t>5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C568" w14:textId="77777777" w:rsidR="00A76F72" w:rsidRDefault="00A76F72">
      <w:pPr>
        <w:spacing w:after="0"/>
      </w:pPr>
      <w:r>
        <w:separator/>
      </w:r>
    </w:p>
  </w:footnote>
  <w:footnote w:type="continuationSeparator" w:id="0">
    <w:p w14:paraId="7E269510" w14:textId="77777777" w:rsidR="00A76F72" w:rsidRDefault="00A76F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058E" w14:textId="77777777" w:rsidR="0037512A" w:rsidRDefault="0080298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C0C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4D5A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143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1B4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12A"/>
    <w:rsid w:val="003756BE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9E2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E3"/>
    <w:rsid w:val="0053601E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9EE"/>
    <w:rsid w:val="00563E71"/>
    <w:rsid w:val="00563E9E"/>
    <w:rsid w:val="0056434D"/>
    <w:rsid w:val="005649A2"/>
    <w:rsid w:val="00564D6E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E4D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09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5340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35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989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4A5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6F72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3E23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67A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170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50C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8FB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4C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2E6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FEB1E6F"/>
    <w:rsid w:val="1F5A5E80"/>
    <w:rsid w:val="332239FA"/>
    <w:rsid w:val="3D173CAB"/>
    <w:rsid w:val="3FEB5336"/>
    <w:rsid w:val="53E964AD"/>
    <w:rsid w:val="5ECD42E8"/>
    <w:rsid w:val="65B25341"/>
    <w:rsid w:val="661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70CCE"/>
  <w15:docId w15:val="{5D27B8BE-D516-439A-9588-B1BCF44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/>
    <w:lsdException w:name="annotation text" w:semiHidden="1" w:uiPriority="99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50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  <w:jc w:val="both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1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2">
    <w:name w:val="Title"/>
    <w:basedOn w:val="a"/>
    <w:link w:val="af3"/>
    <w:qFormat/>
    <w:pPr>
      <w:spacing w:after="120"/>
      <w:jc w:val="center"/>
    </w:pPr>
    <w:rPr>
      <w:rFonts w:ascii="Arial" w:eastAsia="ＭＳ 明朝" w:hAnsi="Arial"/>
      <w:b/>
      <w:sz w:val="24"/>
      <w:lang w:val="de-DE"/>
    </w:rPr>
  </w:style>
  <w:style w:type="paragraph" w:styleId="af4">
    <w:name w:val="annotation subject"/>
    <w:basedOn w:val="a9"/>
    <w:next w:val="a9"/>
    <w:semiHidden/>
    <w:rPr>
      <w:b/>
      <w:bCs/>
    </w:rPr>
  </w:style>
  <w:style w:type="table" w:styleId="af5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</w:style>
  <w:style w:type="character" w:styleId="af8">
    <w:name w:val="Emphasis"/>
    <w:basedOn w:val="a0"/>
    <w:qFormat/>
    <w:rPr>
      <w:i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uiPriority w:val="99"/>
    <w:semiHidden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afc">
    <w:name w:val="List Paragraph"/>
    <w:basedOn w:val="a"/>
    <w:link w:val="afd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3">
    <w:name w:val="表題 (文字)"/>
    <w:link w:val="af2"/>
    <w:rPr>
      <w:rFonts w:ascii="Arial" w:eastAsia="ＭＳ 明朝" w:hAnsi="Arial"/>
      <w:b/>
      <w:sz w:val="24"/>
      <w:lang w:val="de-DE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コメント文字列 (文字)"/>
    <w:link w:val="a9"/>
    <w:uiPriority w:val="99"/>
    <w:semiHidden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見出し 3 (文字)"/>
    <w:link w:val="3"/>
    <w:rPr>
      <w:rFonts w:ascii="Arial" w:hAnsi="Arial"/>
      <w:sz w:val="28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d">
    <w:name w:val="リスト段落 (文字)"/>
    <w:link w:val="afc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図表番号 (文字)"/>
    <w:link w:val="a6"/>
    <w:locked/>
    <w:rPr>
      <w:rFonts w:ascii="Times New Roman" w:hAnsi="Times New Roman"/>
      <w:b/>
      <w:bCs/>
    </w:rPr>
  </w:style>
  <w:style w:type="character" w:customStyle="1" w:styleId="20">
    <w:name w:val="見出し 2 (文字)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本文 (文字)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ヘッダー (文字)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EC350-1F6D-4AC8-8DE0-FE418D258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1099</Words>
  <Characters>7702</Characters>
  <Application>Microsoft Office Word</Application>
  <DocSecurity>0</DocSecurity>
  <Lines>64</Lines>
  <Paragraphs>17</Paragraphs>
  <ScaleCrop>false</ScaleCrop>
  <Company>Qualcomm Inc.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Yugen</cp:lastModifiedBy>
  <cp:revision>2</cp:revision>
  <cp:lastPrinted>2016-09-30T01:19:00Z</cp:lastPrinted>
  <dcterms:created xsi:type="dcterms:W3CDTF">2022-08-22T06:19:00Z</dcterms:created>
  <dcterms:modified xsi:type="dcterms:W3CDTF">2022-08-22T06:19:00Z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