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451C6B7A"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8627C39"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R1-2205783 Correction on Priority rules for CSI reports in TS 38.214    Huawei, HiSilicon</w:t>
      </w:r>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Heading2"/>
      </w:pPr>
      <w:r>
        <w:t>Input papers to the meeting</w:t>
      </w:r>
    </w:p>
    <w:p w14:paraId="0D8F0B1E" w14:textId="6D0AD83A" w:rsidR="00233CEB" w:rsidRDefault="000C1069" w:rsidP="00385C9C">
      <w:pPr>
        <w:ind w:left="0" w:firstLine="0"/>
        <w:rPr>
          <w:lang w:eastAsia="zh-CN"/>
        </w:rPr>
      </w:pPr>
      <w:r>
        <w:rPr>
          <w:lang w:eastAsia="zh-CN"/>
        </w:rPr>
        <w:t>Huawei/HiSilicon raises this issue in R1-2205783 [1]. It should be pointed out that without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Heading3"/>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Pr="00EF7F76">
              <w:rPr>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4.55pt" o:ole="">
                  <v:imagedata r:id="rId7" o:title=""/>
                </v:shape>
                <o:OLEObject Type="Embed" ProgID="Equation.3" ShapeID="_x0000_i1025" DrawAspect="Content" ObjectID="_1722394016" r:id="rId8"/>
              </w:object>
            </w:r>
            <w:r>
              <w:rPr>
                <w:lang w:val="en-US"/>
              </w:rPr>
              <w:t xml:space="preserve"> for aperiodic CSI reports to be carried on PUSCH </w:t>
            </w:r>
            <w:r w:rsidRPr="00EF7F76">
              <w:rPr>
                <w:position w:val="-10"/>
                <w:lang w:val="en-US"/>
              </w:rPr>
              <w:object w:dxaOrig="460" w:dyaOrig="279" w14:anchorId="6289B62E">
                <v:shape id="_x0000_i1026" type="#_x0000_t75" style="width:22.05pt;height:14.55pt" o:ole="">
                  <v:imagedata r:id="rId9" o:title=""/>
                </v:shape>
                <o:OLEObject Type="Embed" ProgID="Equation.3" ShapeID="_x0000_i1026" DrawAspect="Content" ObjectID="_1722394017" r:id="rId10"/>
              </w:object>
            </w:r>
            <w:r>
              <w:rPr>
                <w:lang w:val="en-US"/>
              </w:rPr>
              <w:t xml:space="preserve"> for semi-persistent CSI reports </w:t>
            </w:r>
            <w:r w:rsidRPr="00EF7F76">
              <w:rPr>
                <w:lang w:val="en-US"/>
              </w:rPr>
              <w:t>to be carried on PUSCH</w:t>
            </w:r>
            <w:r>
              <w:rPr>
                <w:lang w:val="en-US"/>
              </w:rPr>
              <w:t xml:space="preserve">, </w:t>
            </w:r>
            <w:r w:rsidRPr="00EF7F76">
              <w:rPr>
                <w:position w:val="-10"/>
                <w:lang w:val="en-US"/>
              </w:rPr>
              <w:object w:dxaOrig="499" w:dyaOrig="279" w14:anchorId="581EE82A">
                <v:shape id="_x0000_i1027" type="#_x0000_t75" style="width:22.05pt;height:14.55pt" o:ole="">
                  <v:imagedata r:id="rId11" o:title=""/>
                </v:shape>
                <o:OLEObject Type="Embed" ProgID="Equation.3" ShapeID="_x0000_i1027" DrawAspect="Content" ObjectID="_1722394018" r:id="rId12"/>
              </w:object>
            </w:r>
            <w:r w:rsidRPr="00EF7F76">
              <w:t xml:space="preserve"> </w:t>
            </w:r>
            <w:r w:rsidRPr="00EF7F76">
              <w:rPr>
                <w:lang w:val="en-US"/>
              </w:rPr>
              <w:t xml:space="preserve">for semi-persistent CSI reports to be carried on PUCCH and </w:t>
            </w:r>
            <w:r w:rsidRPr="00EF7F76">
              <w:rPr>
                <w:position w:val="-10"/>
                <w:lang w:val="en-US"/>
              </w:rPr>
              <w:object w:dxaOrig="480" w:dyaOrig="279" w14:anchorId="34BD6ADA">
                <v:shape id="_x0000_i1028" type="#_x0000_t75" style="width:21.65pt;height:14.55pt" o:ole="">
                  <v:imagedata r:id="rId13" o:title=""/>
                </v:shape>
                <o:OLEObject Type="Embed" ProgID="Equation.3" ShapeID="_x0000_i1028" DrawAspect="Content" ObjectID="_1722394019"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Pr="00EF7F76">
              <w:rPr>
                <w:position w:val="-6"/>
                <w:lang w:val="en-US"/>
              </w:rPr>
              <w:object w:dxaOrig="480" w:dyaOrig="260" w14:anchorId="61B8EDA2">
                <v:shape id="_x0000_i1029" type="#_x0000_t75" style="width:21.65pt;height:14.15pt" o:ole="">
                  <v:imagedata r:id="rId15" o:title=""/>
                </v:shape>
                <o:OLEObject Type="Embed" ProgID="Equation.3" ShapeID="_x0000_i1029" DrawAspect="Content" ObjectID="_1722394020"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Pr="00EF7F76">
              <w:rPr>
                <w:position w:val="-6"/>
                <w:lang w:val="en-US"/>
              </w:rPr>
              <w:object w:dxaOrig="460" w:dyaOrig="260" w14:anchorId="0E8141C9">
                <v:shape id="_x0000_i1030" type="#_x0000_t75" style="width:22.05pt;height:14.15pt" o:ole="">
                  <v:imagedata r:id="rId17" o:title=""/>
                </v:shape>
                <o:OLEObject Type="Embed" ProgID="Equation.3" ShapeID="_x0000_i1030" DrawAspect="Content" ObjectID="_1722394021" r:id="rId18"/>
              </w:object>
            </w:r>
            <w:r w:rsidRPr="00EF7F76">
              <w:t xml:space="preserve"> </w:t>
            </w:r>
            <w:r>
              <w:t>for CSI reports not carrying L1-RSRP</w:t>
            </w:r>
            <w:r w:rsidRPr="00AD3584">
              <w:rPr>
                <w:lang w:val="en-US"/>
              </w:rPr>
              <w:t xml:space="preserve"> </w:t>
            </w:r>
            <w:r>
              <w:rPr>
                <w:lang w:val="en-US"/>
              </w:rPr>
              <w:t>or L1-SINR;</w:t>
            </w:r>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sidRPr="00450CE8">
              <w:rPr>
                <w:i/>
              </w:rPr>
              <w:t>maxNrofServingCells</w:t>
            </w:r>
            <w:r>
              <w:rPr>
                <w:lang w:val="en-US"/>
              </w:rPr>
              <w:t>;</w:t>
            </w:r>
          </w:p>
          <w:p w14:paraId="00A244C0" w14:textId="77777777" w:rsidR="000C1069" w:rsidRDefault="000C1069" w:rsidP="000C1069">
            <w:pPr>
              <w:ind w:left="567" w:hanging="283"/>
              <w:rPr>
                <w:i/>
              </w:rPr>
            </w:pPr>
            <w:r>
              <w:lastRenderedPageBreak/>
              <w:t>-</w:t>
            </w:r>
            <w:r>
              <w:tab/>
            </w:r>
            <w:r w:rsidRPr="00851E64">
              <w:rPr>
                <w:i/>
              </w:rPr>
              <w:t>s</w:t>
            </w:r>
            <w:r>
              <w:t xml:space="preserve"> is the </w:t>
            </w:r>
            <w:r>
              <w:rPr>
                <w:i/>
              </w:rPr>
              <w:t>r</w:t>
            </w:r>
            <w:r w:rsidRPr="00432AE7">
              <w:rPr>
                <w:i/>
              </w:rPr>
              <w:t>eportConfigID</w:t>
            </w:r>
            <w:r w:rsidRPr="00B66820">
              <w:t xml:space="preserve"> </w:t>
            </w:r>
            <w:r w:rsidRPr="00676AF6">
              <w:t>and</w:t>
            </w:r>
            <w:r w:rsidRPr="00B66820">
              <w:rPr>
                <w:i/>
              </w:rPr>
              <w:t xml:space="preserve"> </w:t>
            </w:r>
            <w:r w:rsidRPr="00B66820">
              <w:rPr>
                <w:color w:val="000000"/>
                <w:position w:val="-10"/>
                <w:lang w:val="en-US"/>
              </w:rPr>
              <w:object w:dxaOrig="340" w:dyaOrig="300" w14:anchorId="0FC57F02">
                <v:shape id="_x0000_i1031" type="#_x0000_t75" style="width:14.15pt;height:14.55pt" o:ole="">
                  <v:imagedata r:id="rId19" o:title=""/>
                </v:shape>
                <o:OLEObject Type="Embed" ProgID="Equation.3" ShapeID="_x0000_i1031" DrawAspect="Content" ObjectID="_1722394022" r:id="rId20"/>
              </w:object>
            </w:r>
            <w:r w:rsidRPr="00676AF6">
              <w:t xml:space="preserve">is the value of the higher layer parameter </w:t>
            </w:r>
            <w:r w:rsidRPr="00B66820">
              <w:rPr>
                <w:i/>
              </w:rPr>
              <w:t>maxNrofCSI-Report</w:t>
            </w:r>
            <w:r>
              <w:rPr>
                <w:i/>
              </w:rPr>
              <w:t>Configurations.</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Pr="005235BA">
              <w:rPr>
                <w:color w:val="000000"/>
                <w:position w:val="-12"/>
                <w:lang w:val="en-US"/>
              </w:rPr>
              <w:object w:dxaOrig="1359" w:dyaOrig="380" w14:anchorId="26A6320A">
                <v:shape id="_x0000_i1032" type="#_x0000_t75" style="width:64.5pt;height:22.05pt" o:ole="">
                  <v:imagedata r:id="rId21" o:title=""/>
                </v:shape>
                <o:OLEObject Type="Embed" ProgID="Equation.3" ShapeID="_x0000_i1032" DrawAspect="Content" ObjectID="_1722394023"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Pr="005235BA">
              <w:rPr>
                <w:position w:val="-12"/>
              </w:rPr>
              <w:object w:dxaOrig="1359" w:dyaOrig="380" w14:anchorId="50DA79F5">
                <v:shape id="_x0000_i1033" type="#_x0000_t75" style="width:64.5pt;height:22.05pt" o:ole="">
                  <v:imagedata r:id="rId23" o:title=""/>
                </v:shape>
                <o:OLEObject Type="Embed" ProgID="Equation.3" ShapeID="_x0000_i1033" DrawAspect="Content" ObjectID="_1722394024"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 w:name="OLE_LINK2"/>
            <w:bookmarkStart w:id="4"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Heading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TableGrid"/>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77777777" w:rsidR="00F173F3" w:rsidRDefault="00F173F3" w:rsidP="00385C9C">
            <w:pPr>
              <w:ind w:left="0" w:firstLine="0"/>
              <w:rPr>
                <w:lang w:eastAsia="zh-CN"/>
              </w:rPr>
            </w:pPr>
          </w:p>
        </w:tc>
        <w:tc>
          <w:tcPr>
            <w:tcW w:w="7491" w:type="dxa"/>
          </w:tcPr>
          <w:p w14:paraId="40679D7C" w14:textId="77777777" w:rsidR="00F173F3" w:rsidRDefault="00F173F3" w:rsidP="00385C9C">
            <w:pPr>
              <w:ind w:left="0" w:firstLine="0"/>
              <w:rPr>
                <w:lang w:eastAsia="zh-CN"/>
              </w:rPr>
            </w:pPr>
          </w:p>
        </w:tc>
      </w:tr>
      <w:tr w:rsidR="00F173F3" w14:paraId="70BCE48B" w14:textId="77777777" w:rsidTr="00F173F3">
        <w:tc>
          <w:tcPr>
            <w:tcW w:w="1525" w:type="dxa"/>
          </w:tcPr>
          <w:p w14:paraId="52D51546" w14:textId="77777777" w:rsidR="00F173F3" w:rsidRDefault="00F173F3" w:rsidP="00385C9C">
            <w:pPr>
              <w:ind w:left="0" w:firstLine="0"/>
              <w:rPr>
                <w:lang w:eastAsia="zh-CN"/>
              </w:rPr>
            </w:pPr>
          </w:p>
        </w:tc>
        <w:tc>
          <w:tcPr>
            <w:tcW w:w="7491" w:type="dxa"/>
          </w:tcPr>
          <w:p w14:paraId="539E089A" w14:textId="77777777" w:rsidR="00F173F3" w:rsidRDefault="00F173F3" w:rsidP="00385C9C">
            <w:pPr>
              <w:ind w:left="0" w:firstLine="0"/>
              <w:rPr>
                <w:lang w:eastAsia="zh-CN"/>
              </w:rPr>
            </w:pPr>
          </w:p>
        </w:tc>
      </w:tr>
      <w:tr w:rsidR="00F173F3" w14:paraId="3B4A0858" w14:textId="77777777" w:rsidTr="00F173F3">
        <w:tc>
          <w:tcPr>
            <w:tcW w:w="1525" w:type="dxa"/>
          </w:tcPr>
          <w:p w14:paraId="19989838" w14:textId="77777777" w:rsidR="00F173F3" w:rsidRDefault="00F173F3" w:rsidP="00385C9C">
            <w:pPr>
              <w:ind w:left="0" w:firstLine="0"/>
              <w:rPr>
                <w:lang w:eastAsia="zh-CN"/>
              </w:rPr>
            </w:pPr>
          </w:p>
        </w:tc>
        <w:tc>
          <w:tcPr>
            <w:tcW w:w="7491" w:type="dxa"/>
          </w:tcPr>
          <w:p w14:paraId="0E14493B" w14:textId="77777777" w:rsidR="00F173F3" w:rsidRDefault="00F173F3" w:rsidP="00385C9C">
            <w:pPr>
              <w:ind w:left="0" w:firstLine="0"/>
              <w:rPr>
                <w:lang w:eastAsia="zh-CN"/>
              </w:rPr>
            </w:pPr>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005D12BB" w14:textId="77777777" w:rsidR="00233CEB" w:rsidRDefault="00F834D1">
      <w:pPr>
        <w:rPr>
          <w:lang w:eastAsia="zh-CN"/>
        </w:rPr>
      </w:pPr>
      <w:r>
        <w:rPr>
          <w:lang w:eastAsia="zh-CN"/>
        </w:rPr>
        <w:t>TBD.</w:t>
      </w:r>
    </w:p>
    <w:p w14:paraId="0DA4460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Huawei, HiSilicon</w:t>
      </w:r>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bookmarkStart w:id="5" w:name="_GoBack"/>
      <w:bookmarkEnd w:id="5"/>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58883" w14:textId="77777777" w:rsidR="0012715D" w:rsidRDefault="0012715D">
      <w:r>
        <w:separator/>
      </w:r>
    </w:p>
  </w:endnote>
  <w:endnote w:type="continuationSeparator" w:id="0">
    <w:p w14:paraId="359BD970" w14:textId="77777777" w:rsidR="0012715D" w:rsidRDefault="0012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F1B12" w14:textId="77777777" w:rsidR="0012715D" w:rsidRDefault="0012715D">
      <w:r>
        <w:separator/>
      </w:r>
    </w:p>
  </w:footnote>
  <w:footnote w:type="continuationSeparator" w:id="0">
    <w:p w14:paraId="7C3AEC7E" w14:textId="77777777" w:rsidR="0012715D" w:rsidRDefault="00127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19"/>
  </w:num>
  <w:num w:numId="5">
    <w:abstractNumId w:val="4"/>
  </w:num>
  <w:num w:numId="6">
    <w:abstractNumId w:val="9"/>
  </w:num>
  <w:num w:numId="7">
    <w:abstractNumId w:val="8"/>
  </w:num>
  <w:num w:numId="8">
    <w:abstractNumId w:val="6"/>
  </w:num>
  <w:num w:numId="9">
    <w:abstractNumId w:val="16"/>
  </w:num>
  <w:num w:numId="10">
    <w:abstractNumId w:val="17"/>
  </w:num>
  <w:num w:numId="11">
    <w:abstractNumId w:val="14"/>
  </w:num>
  <w:num w:numId="12">
    <w:abstractNumId w:val="18"/>
  </w:num>
  <w:num w:numId="13">
    <w:abstractNumId w:val="5"/>
  </w:num>
  <w:num w:numId="14">
    <w:abstractNumId w:val="22"/>
  </w:num>
  <w:num w:numId="15">
    <w:abstractNumId w:val="7"/>
  </w:num>
  <w:num w:numId="16">
    <w:abstractNumId w:val="2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21"/>
  </w:num>
  <w:num w:numId="22">
    <w:abstractNumId w:val="10"/>
  </w:num>
  <w:num w:numId="23">
    <w:abstractNumId w:val="12"/>
  </w:num>
  <w:num w:numId="24">
    <w:abstractNumId w:val="3"/>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401B"/>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List2">
    <w:name w:val="List 2"/>
    <w:basedOn w:val="Normal"/>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3</cp:revision>
  <dcterms:created xsi:type="dcterms:W3CDTF">2022-08-18T05:38:00Z</dcterms:created>
  <dcterms:modified xsi:type="dcterms:W3CDTF">2022-08-19T03:57:00Z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