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5441" w14:textId="0A99D229"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w:t>
      </w:r>
      <w:r w:rsidR="003C4BC9">
        <w:rPr>
          <w:rFonts w:ascii="Arial" w:hAnsi="Arial" w:cs="Arial"/>
          <w:b/>
          <w:sz w:val="24"/>
        </w:rPr>
        <w:t>10</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10</w:t>
      </w:r>
      <w:r w:rsidR="003C4BC9">
        <w:rPr>
          <w:rFonts w:ascii="Arial" w:hAnsi="Arial" w:cs="Arial"/>
          <w:b/>
          <w:color w:val="000000"/>
          <w:sz w:val="24"/>
        </w:rPr>
        <w:t>xxxx</w:t>
      </w:r>
    </w:p>
    <w:p w14:paraId="38A12BDD" w14:textId="1B79640C" w:rsidR="00FB3E0B" w:rsidRPr="00DA12F7" w:rsidRDefault="003C4BC9"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2</w:t>
      </w:r>
      <w:r>
        <w:rPr>
          <w:rFonts w:ascii="Arial" w:hAnsi="Arial" w:cs="Arial"/>
          <w:b/>
          <w:sz w:val="24"/>
          <w:szCs w:val="24"/>
          <w:vertAlign w:val="superscript"/>
        </w:rPr>
        <w:t>nd</w:t>
      </w:r>
      <w:r w:rsidR="007D56CA">
        <w:rPr>
          <w:rFonts w:ascii="Arial" w:hAnsi="Arial" w:cs="Arial"/>
          <w:b/>
          <w:sz w:val="24"/>
          <w:szCs w:val="24"/>
        </w:rPr>
        <w:t xml:space="preserve"> – </w:t>
      </w:r>
      <w:r>
        <w:rPr>
          <w:rFonts w:ascii="Arial" w:hAnsi="Arial" w:cs="Arial"/>
          <w:b/>
          <w:sz w:val="24"/>
          <w:szCs w:val="24"/>
        </w:rPr>
        <w:t>26</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2</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7E43600C"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w:t>
      </w:r>
      <w:r w:rsidR="0006587A">
        <w:rPr>
          <w:rFonts w:ascii="Arial" w:hAnsi="Arial"/>
          <w:color w:val="000000"/>
          <w:sz w:val="24"/>
        </w:rPr>
        <w:t>11</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223FD8B0"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69336E">
        <w:rPr>
          <w:rFonts w:ascii="Arial" w:hAnsi="Arial"/>
          <w:sz w:val="24"/>
          <w:szCs w:val="24"/>
        </w:rPr>
        <w:t xml:space="preserve"> </w:t>
      </w:r>
      <w:r w:rsidR="00E34E19">
        <w:rPr>
          <w:rFonts w:ascii="Arial" w:hAnsi="Arial"/>
          <w:sz w:val="24"/>
          <w:szCs w:val="24"/>
        </w:rPr>
        <w:t>of</w:t>
      </w:r>
      <w:r w:rsidR="009C55C9">
        <w:rPr>
          <w:rFonts w:ascii="Arial" w:hAnsi="Arial"/>
          <w:sz w:val="24"/>
          <w:szCs w:val="24"/>
        </w:rPr>
        <w:t xml:space="preserve"> Additional </w:t>
      </w:r>
      <w:r w:rsidR="0006587A">
        <w:rPr>
          <w:rFonts w:ascii="Arial" w:hAnsi="Arial"/>
          <w:sz w:val="24"/>
          <w:szCs w:val="24"/>
        </w:rPr>
        <w:t>Capabilities</w:t>
      </w:r>
      <w:r w:rsidR="009C55C9">
        <w:rPr>
          <w:rFonts w:ascii="Arial" w:hAnsi="Arial"/>
          <w:sz w:val="24"/>
          <w:szCs w:val="24"/>
        </w:rPr>
        <w:t xml:space="preserve"> for Span-Based PDCCH</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59BFF511" w14:textId="03312094" w:rsidR="00B358F3" w:rsidRDefault="00F268F2" w:rsidP="005B067D">
      <w:pPr>
        <w:jc w:val="both"/>
        <w:rPr>
          <w:lang w:eastAsia="ko-KR"/>
        </w:rPr>
      </w:pPr>
      <w:r w:rsidRPr="00F268F2">
        <w:rPr>
          <w:lang w:eastAsia="ko-KR"/>
        </w:rPr>
        <w:t xml:space="preserve">This document summarizes companies views on introducing new patterns for span-based PDCCH as proposed in </w:t>
      </w:r>
      <w:r w:rsidR="005F7390">
        <w:rPr>
          <w:lang w:eastAsia="ko-KR"/>
        </w:rPr>
        <w:t>[1].</w:t>
      </w:r>
    </w:p>
    <w:p w14:paraId="128BC24C" w14:textId="77777777" w:rsidR="00342DDB" w:rsidRDefault="00786D46" w:rsidP="005B067D">
      <w:pPr>
        <w:jc w:val="both"/>
        <w:rPr>
          <w:lang w:eastAsia="ko-KR"/>
        </w:rPr>
      </w:pPr>
      <w:r>
        <w:rPr>
          <w:lang w:eastAsia="ko-KR"/>
        </w:rPr>
        <w:t xml:space="preserve">In R16, </w:t>
      </w:r>
      <w:r w:rsidR="009304A6">
        <w:rPr>
          <w:lang w:eastAsia="ko-KR"/>
        </w:rPr>
        <w:t xml:space="preserve">three different patterns for span-based PDCCH were introduced: (2,2), (4,3) and (7,3). In [1], it is mentioned that supporting the (2,2) pattern, where the UE has to monitor PDCCH effectively on every DL symbol, is challenging. Further, supporting (4,3) or (7,3), where the UE has </w:t>
      </w:r>
      <w:r w:rsidR="00FB5D00">
        <w:rPr>
          <w:lang w:eastAsia="ko-KR"/>
        </w:rPr>
        <w:t>monitor PDCCH over multiple groups of 3 consecutive symbols</w:t>
      </w:r>
      <w:r w:rsidR="006E1B51">
        <w:rPr>
          <w:lang w:eastAsia="ko-KR"/>
        </w:rPr>
        <w:t>, is challenging. To facilitate the implementation of this feature for URLLC applications, it is therefore proposed to adopt</w:t>
      </w:r>
      <w:r w:rsidR="0089039D">
        <w:rPr>
          <w:lang w:eastAsia="ko-KR"/>
        </w:rPr>
        <w:t xml:space="preserve"> additional,</w:t>
      </w:r>
      <w:r w:rsidR="006E1B51">
        <w:rPr>
          <w:lang w:eastAsia="ko-KR"/>
        </w:rPr>
        <w:t xml:space="preserve"> </w:t>
      </w:r>
      <w:r w:rsidR="0089039D">
        <w:rPr>
          <w:lang w:eastAsia="ko-KR"/>
        </w:rPr>
        <w:t>less demanding, patterns</w:t>
      </w:r>
      <w:r w:rsidR="00342DDB">
        <w:rPr>
          <w:lang w:eastAsia="ko-KR"/>
        </w:rPr>
        <w:t xml:space="preserve">; these patterns are (2,1), (4,1) and (7,1). </w:t>
      </w:r>
    </w:p>
    <w:p w14:paraId="4AC9A666" w14:textId="10407376" w:rsidR="00751CF7" w:rsidRDefault="0003213B" w:rsidP="005B067D">
      <w:pPr>
        <w:jc w:val="both"/>
        <w:rPr>
          <w:rFonts w:eastAsia="MS Mincho"/>
          <w:lang w:val="en-GB" w:eastAsia="ja-JP"/>
        </w:rPr>
      </w:pPr>
      <w:r>
        <w:rPr>
          <w:rFonts w:eastAsia="MS Mincho"/>
          <w:lang w:val="en-GB" w:eastAsia="ja-JP"/>
        </w:rPr>
        <w:t xml:space="preserve">It is therefore proposed to introduce a new FG, FG 11-2x as below: </w:t>
      </w:r>
    </w:p>
    <w:tbl>
      <w:tblPr>
        <w:tblStyle w:val="TableGrid"/>
        <w:tblW w:w="11785" w:type="dxa"/>
        <w:tblLook w:val="04A0" w:firstRow="1" w:lastRow="0" w:firstColumn="1" w:lastColumn="0" w:noHBand="0" w:noVBand="1"/>
      </w:tblPr>
      <w:tblGrid>
        <w:gridCol w:w="526"/>
        <w:gridCol w:w="1105"/>
        <w:gridCol w:w="2073"/>
        <w:gridCol w:w="339"/>
        <w:gridCol w:w="2516"/>
        <w:gridCol w:w="1938"/>
        <w:gridCol w:w="461"/>
        <w:gridCol w:w="461"/>
        <w:gridCol w:w="1361"/>
        <w:gridCol w:w="1005"/>
      </w:tblGrid>
      <w:tr w:rsidR="00DB5307" w14:paraId="0976C77C" w14:textId="77777777" w:rsidTr="00DB5307">
        <w:tc>
          <w:tcPr>
            <w:tcW w:w="530" w:type="dxa"/>
          </w:tcPr>
          <w:p w14:paraId="3440DF63" w14:textId="77777777" w:rsidR="00077B1D" w:rsidRPr="0086457C" w:rsidRDefault="00077B1D" w:rsidP="008F1C0A">
            <w:pPr>
              <w:rPr>
                <w:rFonts w:eastAsia="MS Mincho" w:cstheme="minorHAnsi"/>
                <w:lang w:val="en-GB" w:eastAsia="ja-JP"/>
              </w:rPr>
            </w:pPr>
            <w:r w:rsidRPr="000326F2">
              <w:rPr>
                <w:rFonts w:eastAsia="Times New Roman" w:cstheme="minorHAnsi"/>
                <w:lang w:val="en-GB"/>
              </w:rPr>
              <w:t>11-2</w:t>
            </w:r>
            <w:r w:rsidRPr="0086457C">
              <w:rPr>
                <w:rFonts w:eastAsia="Times New Roman" w:cstheme="minorHAnsi"/>
                <w:color w:val="000000" w:themeColor="text1"/>
                <w:lang w:val="en-GB"/>
              </w:rPr>
              <w:t>x</w:t>
            </w:r>
          </w:p>
        </w:tc>
        <w:tc>
          <w:tcPr>
            <w:tcW w:w="1105" w:type="dxa"/>
          </w:tcPr>
          <w:p w14:paraId="37C69788" w14:textId="77777777" w:rsidR="00077B1D" w:rsidRPr="0086457C" w:rsidRDefault="00077B1D" w:rsidP="008F1C0A">
            <w:pPr>
              <w:rPr>
                <w:rFonts w:eastAsia="MS Mincho" w:cstheme="minorHAnsi"/>
                <w:lang w:val="en-GB" w:eastAsia="ja-JP"/>
              </w:rPr>
            </w:pPr>
            <w:r w:rsidRPr="000326F2">
              <w:rPr>
                <w:rFonts w:eastAsia="Times New Roman" w:cstheme="minorHAnsi"/>
                <w:lang w:val="en-GB"/>
              </w:rPr>
              <w:t>Rel-16 PDCCH monitoring capability</w:t>
            </w:r>
          </w:p>
        </w:tc>
        <w:tc>
          <w:tcPr>
            <w:tcW w:w="2105" w:type="dxa"/>
          </w:tcPr>
          <w:p w14:paraId="58B00995" w14:textId="77777777" w:rsidR="00077B1D" w:rsidRPr="000326F2" w:rsidRDefault="00077B1D" w:rsidP="008F1C0A">
            <w:pPr>
              <w:ind w:left="318" w:hanging="284"/>
              <w:rPr>
                <w:rFonts w:eastAsia="Times New Roman" w:cstheme="minorHAnsi"/>
              </w:rPr>
            </w:pPr>
            <w:r w:rsidRPr="000326F2">
              <w:rPr>
                <w:rFonts w:eastAsia="Times New Roman" w:cstheme="minorHAnsi"/>
                <w:lang w:val="en-GB"/>
              </w:rPr>
              <w:t>1.   Supported combination(s) of (X, Y, m). For</w:t>
            </w:r>
            <w:r w:rsidRPr="0086457C">
              <w:rPr>
                <w:rFonts w:eastAsia="Times New Roman" w:cstheme="minorHAnsi"/>
                <w:lang w:val="en-GB"/>
              </w:rPr>
              <w:t xml:space="preserve"> </w:t>
            </w:r>
            <w:r>
              <w:rPr>
                <w:rFonts w:eastAsia="Times New Roman" w:cstheme="minorHAnsi"/>
                <w:lang w:val="en-GB"/>
              </w:rPr>
              <w:t>each</w:t>
            </w:r>
            <w:r w:rsidRPr="000326F2">
              <w:rPr>
                <w:rFonts w:eastAsia="Times New Roman" w:cstheme="minorHAnsi"/>
                <w:lang w:val="en-GB"/>
              </w:rPr>
              <w:t xml:space="preserve"> reported combination, the UE supports the limit C on the maximum number of non-overlapped CCEs for channel estimation per PDCCH monitoring span and the limit M on the maximum number of monitored PDCCH candidates per PDCCH monitoring span</w:t>
            </w:r>
          </w:p>
          <w:p w14:paraId="746C7669" w14:textId="77777777" w:rsidR="00077B1D" w:rsidRPr="000326F2" w:rsidRDefault="00077B1D" w:rsidP="008F1C0A">
            <w:pPr>
              <w:ind w:left="318" w:hanging="284"/>
              <w:rPr>
                <w:rFonts w:eastAsia="Times New Roman" w:cstheme="minorHAnsi"/>
              </w:rPr>
            </w:pPr>
            <w:r w:rsidRPr="000326F2">
              <w:rPr>
                <w:rFonts w:eastAsia="Times New Roman" w:cstheme="minorHAnsi"/>
                <w:lang w:val="en-GB"/>
              </w:rPr>
              <w:t>2.   Maximum number of DL and UL unicast DCI formats in a span</w:t>
            </w:r>
          </w:p>
          <w:p w14:paraId="00079FD2" w14:textId="77777777" w:rsidR="00077B1D" w:rsidRPr="000326F2" w:rsidRDefault="00077B1D" w:rsidP="008F1C0A">
            <w:pPr>
              <w:ind w:left="318"/>
              <w:rPr>
                <w:rFonts w:eastAsia="Times New Roman" w:cstheme="minorHAnsi"/>
              </w:rPr>
            </w:pPr>
            <w:r w:rsidRPr="000326F2">
              <w:rPr>
                <w:rFonts w:eastAsia="Times New Roman" w:cstheme="minorHAnsi"/>
                <w:lang w:val="en-GB"/>
              </w:rPr>
              <w:t xml:space="preserve">For the set of monitoring occasions which </w:t>
            </w:r>
            <w:r w:rsidRPr="000326F2">
              <w:rPr>
                <w:rFonts w:eastAsia="Times New Roman" w:cstheme="minorHAnsi"/>
                <w:lang w:val="en-GB"/>
              </w:rPr>
              <w:lastRenderedPageBreak/>
              <w:t>are within the same span:</w:t>
            </w:r>
          </w:p>
          <w:p w14:paraId="3F8AF090" w14:textId="77777777" w:rsidR="00077B1D" w:rsidRPr="000326F2" w:rsidRDefault="00077B1D" w:rsidP="008F1C0A">
            <w:pPr>
              <w:ind w:left="601" w:hanging="284"/>
              <w:rPr>
                <w:rFonts w:eastAsia="Times New Roman" w:cstheme="minorHAnsi"/>
              </w:rPr>
            </w:pPr>
            <w:r w:rsidRPr="000326F2">
              <w:rPr>
                <w:rFonts w:eastAsia="Times New Roman" w:cstheme="minorHAnsi"/>
                <w:lang w:val="en-GB"/>
              </w:rPr>
              <w:t>-     Processing one unicast DCI scheduling DL and one unicast DCI scheduling UL per scheduled CC across this set of monitoring occasions for FDD</w:t>
            </w:r>
          </w:p>
          <w:p w14:paraId="503BA3C6" w14:textId="77777777" w:rsidR="00077B1D" w:rsidRPr="000326F2" w:rsidRDefault="00077B1D" w:rsidP="008F1C0A">
            <w:pPr>
              <w:ind w:left="601" w:hanging="284"/>
              <w:rPr>
                <w:rFonts w:eastAsia="Times New Roman" w:cstheme="minorHAnsi"/>
              </w:rPr>
            </w:pPr>
            <w:r w:rsidRPr="000326F2">
              <w:rPr>
                <w:rFonts w:eastAsia="Times New Roman" w:cstheme="minorHAnsi"/>
                <w:lang w:val="en-GB"/>
              </w:rPr>
              <w:t>-     Processing one unicast DCI scheduling DL and two unicast DCI scheduling UL per scheduled CC across this set of monitoring occasions for TDD</w:t>
            </w:r>
          </w:p>
          <w:p w14:paraId="1B06B3C8" w14:textId="77777777" w:rsidR="00077B1D" w:rsidRPr="0086457C" w:rsidRDefault="00077B1D" w:rsidP="008F1C0A">
            <w:pPr>
              <w:rPr>
                <w:rFonts w:eastAsia="MS Mincho" w:cstheme="minorHAnsi"/>
                <w:lang w:val="en-GB" w:eastAsia="ja-JP"/>
              </w:rPr>
            </w:pPr>
            <w:r w:rsidRPr="000326F2">
              <w:rPr>
                <w:rFonts w:eastAsia="Times New Roman" w:cstheme="minorHAnsi"/>
                <w:lang w:val="en-GB"/>
              </w:rPr>
              <w:t>-     Processing two unicast DCI scheduling DL and one unicast DCI scheduling UL per scheduled CC across this set of monitoring occasions for TDD</w:t>
            </w:r>
          </w:p>
        </w:tc>
        <w:tc>
          <w:tcPr>
            <w:tcW w:w="350" w:type="dxa"/>
          </w:tcPr>
          <w:p w14:paraId="6B2BB2C1" w14:textId="77777777" w:rsidR="00077B1D" w:rsidRPr="0086457C" w:rsidRDefault="00077B1D" w:rsidP="008F1C0A">
            <w:pPr>
              <w:rPr>
                <w:rFonts w:eastAsia="MS Mincho" w:cstheme="minorHAnsi"/>
                <w:lang w:val="en-GB" w:eastAsia="ja-JP"/>
              </w:rPr>
            </w:pPr>
          </w:p>
        </w:tc>
        <w:tc>
          <w:tcPr>
            <w:tcW w:w="2563" w:type="dxa"/>
          </w:tcPr>
          <w:p w14:paraId="067591AD" w14:textId="77777777" w:rsidR="00077B1D" w:rsidRPr="000326F2" w:rsidRDefault="00077B1D" w:rsidP="008F1C0A">
            <w:pPr>
              <w:rPr>
                <w:rFonts w:eastAsia="Times New Roman" w:cstheme="minorHAnsi"/>
              </w:rPr>
            </w:pPr>
            <w:r w:rsidRPr="000326F2">
              <w:rPr>
                <w:rFonts w:eastAsia="Times New Roman" w:cstheme="minorHAnsi"/>
                <w:i/>
                <w:iCs/>
                <w:lang w:val="en-GB"/>
              </w:rPr>
              <w:t>pdcch-Monitoring-r16 {</w:t>
            </w:r>
          </w:p>
          <w:p w14:paraId="67623B30" w14:textId="77777777" w:rsidR="00077B1D" w:rsidRPr="000326F2" w:rsidRDefault="00077B1D" w:rsidP="008F1C0A">
            <w:pPr>
              <w:rPr>
                <w:rFonts w:eastAsia="Times New Roman" w:cstheme="minorHAnsi"/>
              </w:rPr>
            </w:pPr>
            <w:r w:rsidRPr="000326F2">
              <w:rPr>
                <w:rFonts w:eastAsia="Times New Roman" w:cstheme="minorHAnsi"/>
                <w:i/>
                <w:iCs/>
                <w:lang w:val="en-GB"/>
              </w:rPr>
              <w:t>pdsch-ProcessingType1-r16{</w:t>
            </w:r>
          </w:p>
          <w:p w14:paraId="3E859A1F" w14:textId="77777777" w:rsidR="00077B1D" w:rsidRPr="000326F2" w:rsidRDefault="00077B1D" w:rsidP="008F1C0A">
            <w:pPr>
              <w:rPr>
                <w:rFonts w:eastAsia="Times New Roman" w:cstheme="minorHAnsi"/>
              </w:rPr>
            </w:pPr>
            <w:r w:rsidRPr="000326F2">
              <w:rPr>
                <w:rFonts w:eastAsia="Times New Roman" w:cstheme="minorHAnsi"/>
                <w:i/>
                <w:iCs/>
                <w:lang w:val="en-GB"/>
              </w:rPr>
              <w:t>scs-15kHz-r16</w:t>
            </w:r>
          </w:p>
          <w:p w14:paraId="26767081" w14:textId="77777777" w:rsidR="00077B1D" w:rsidRPr="000326F2" w:rsidRDefault="00077B1D" w:rsidP="008F1C0A">
            <w:pPr>
              <w:rPr>
                <w:rFonts w:eastAsia="Times New Roman" w:cstheme="minorHAnsi"/>
              </w:rPr>
            </w:pPr>
            <w:r w:rsidRPr="000326F2">
              <w:rPr>
                <w:rFonts w:eastAsia="Times New Roman" w:cstheme="minorHAnsi"/>
                <w:i/>
                <w:iCs/>
                <w:lang w:val="en-GB"/>
              </w:rPr>
              <w:t>PDCCH-MonitoringOccasions-r16,</w:t>
            </w:r>
          </w:p>
          <w:p w14:paraId="28C6C527" w14:textId="77777777" w:rsidR="00077B1D" w:rsidRPr="000326F2" w:rsidRDefault="00077B1D" w:rsidP="008F1C0A">
            <w:pPr>
              <w:rPr>
                <w:rFonts w:eastAsia="Times New Roman" w:cstheme="minorHAnsi"/>
              </w:rPr>
            </w:pPr>
            <w:r w:rsidRPr="000326F2">
              <w:rPr>
                <w:rFonts w:eastAsia="Times New Roman" w:cstheme="minorHAnsi"/>
                <w:i/>
                <w:iCs/>
                <w:lang w:val="en-GB"/>
              </w:rPr>
              <w:t>scs-30kHz-r16</w:t>
            </w:r>
          </w:p>
          <w:p w14:paraId="6C863D29" w14:textId="77777777" w:rsidR="00077B1D" w:rsidRPr="000326F2" w:rsidRDefault="00077B1D" w:rsidP="008F1C0A">
            <w:pPr>
              <w:rPr>
                <w:rFonts w:eastAsia="Times New Roman" w:cstheme="minorHAnsi"/>
              </w:rPr>
            </w:pPr>
            <w:r w:rsidRPr="000326F2">
              <w:rPr>
                <w:rFonts w:eastAsia="Times New Roman" w:cstheme="minorHAnsi"/>
                <w:i/>
                <w:iCs/>
                <w:lang w:val="en-GB"/>
              </w:rPr>
              <w:t>PDCCH-MonitoringOccasions-r16</w:t>
            </w:r>
          </w:p>
          <w:p w14:paraId="74E53F7C" w14:textId="77777777" w:rsidR="00077B1D" w:rsidRPr="000326F2" w:rsidRDefault="00077B1D" w:rsidP="008F1C0A">
            <w:pPr>
              <w:rPr>
                <w:rFonts w:eastAsia="Times New Roman" w:cstheme="minorHAnsi"/>
              </w:rPr>
            </w:pPr>
            <w:r w:rsidRPr="000326F2">
              <w:rPr>
                <w:rFonts w:eastAsia="Times New Roman" w:cstheme="minorHAnsi"/>
                <w:i/>
                <w:iCs/>
                <w:lang w:val="en-GB"/>
              </w:rPr>
              <w:t>},</w:t>
            </w:r>
          </w:p>
          <w:p w14:paraId="19C15FFA" w14:textId="77777777" w:rsidR="00077B1D" w:rsidRPr="000326F2" w:rsidRDefault="00077B1D" w:rsidP="008F1C0A">
            <w:pPr>
              <w:rPr>
                <w:rFonts w:eastAsia="Times New Roman" w:cstheme="minorHAnsi"/>
              </w:rPr>
            </w:pPr>
            <w:r w:rsidRPr="000326F2">
              <w:rPr>
                <w:rFonts w:eastAsia="Times New Roman" w:cstheme="minorHAnsi"/>
                <w:i/>
                <w:iCs/>
                <w:lang w:val="en-GB"/>
              </w:rPr>
              <w:t>pdsch-ProcessingType2-r16 {</w:t>
            </w:r>
          </w:p>
          <w:p w14:paraId="2A8BAAE6" w14:textId="77777777" w:rsidR="00077B1D" w:rsidRPr="000326F2" w:rsidRDefault="00077B1D" w:rsidP="008F1C0A">
            <w:pPr>
              <w:rPr>
                <w:rFonts w:eastAsia="Times New Roman" w:cstheme="minorHAnsi"/>
              </w:rPr>
            </w:pPr>
            <w:r w:rsidRPr="000326F2">
              <w:rPr>
                <w:rFonts w:eastAsia="Times New Roman" w:cstheme="minorHAnsi"/>
                <w:i/>
                <w:iCs/>
                <w:lang w:val="en-GB"/>
              </w:rPr>
              <w:t>scs-15kHz-r16</w:t>
            </w:r>
          </w:p>
          <w:p w14:paraId="4B28126B" w14:textId="77777777" w:rsidR="00077B1D" w:rsidRPr="000326F2" w:rsidRDefault="00077B1D" w:rsidP="008F1C0A">
            <w:pPr>
              <w:rPr>
                <w:rFonts w:eastAsia="Times New Roman" w:cstheme="minorHAnsi"/>
              </w:rPr>
            </w:pPr>
            <w:r w:rsidRPr="000326F2">
              <w:rPr>
                <w:rFonts w:eastAsia="Times New Roman" w:cstheme="minorHAnsi"/>
                <w:i/>
                <w:iCs/>
                <w:lang w:val="en-GB"/>
              </w:rPr>
              <w:t>PDCCH-MonitoringOccasions-r16,</w:t>
            </w:r>
          </w:p>
          <w:p w14:paraId="5B577D0B" w14:textId="77777777" w:rsidR="00077B1D" w:rsidRPr="000326F2" w:rsidRDefault="00077B1D" w:rsidP="008F1C0A">
            <w:pPr>
              <w:rPr>
                <w:rFonts w:eastAsia="Times New Roman" w:cstheme="minorHAnsi"/>
              </w:rPr>
            </w:pPr>
            <w:r w:rsidRPr="000326F2">
              <w:rPr>
                <w:rFonts w:eastAsia="Times New Roman" w:cstheme="minorHAnsi"/>
                <w:i/>
                <w:iCs/>
                <w:lang w:val="en-GB"/>
              </w:rPr>
              <w:t>scs-30kHz-r16</w:t>
            </w:r>
          </w:p>
          <w:p w14:paraId="4664F799" w14:textId="77777777" w:rsidR="00077B1D" w:rsidRPr="000326F2" w:rsidRDefault="00077B1D" w:rsidP="008F1C0A">
            <w:pPr>
              <w:rPr>
                <w:rFonts w:eastAsia="Times New Roman" w:cstheme="minorHAnsi"/>
              </w:rPr>
            </w:pPr>
            <w:r w:rsidRPr="000326F2">
              <w:rPr>
                <w:rFonts w:eastAsia="Times New Roman" w:cstheme="minorHAnsi"/>
                <w:i/>
                <w:iCs/>
                <w:lang w:val="en-GB"/>
              </w:rPr>
              <w:t>PDCCH-MonitoringOccasions-r16</w:t>
            </w:r>
          </w:p>
          <w:p w14:paraId="2A7B71F0" w14:textId="77777777" w:rsidR="00077B1D" w:rsidRPr="0086457C" w:rsidRDefault="00077B1D" w:rsidP="008F1C0A">
            <w:pPr>
              <w:rPr>
                <w:rFonts w:eastAsia="MS Mincho" w:cstheme="minorHAnsi"/>
                <w:lang w:val="en-GB" w:eastAsia="ja-JP"/>
              </w:rPr>
            </w:pPr>
            <w:r w:rsidRPr="000326F2">
              <w:rPr>
                <w:rFonts w:eastAsia="Times New Roman" w:cstheme="minorHAnsi"/>
                <w:i/>
                <w:iCs/>
                <w:lang w:val="en-GB"/>
              </w:rPr>
              <w:t>}</w:t>
            </w:r>
          </w:p>
        </w:tc>
        <w:tc>
          <w:tcPr>
            <w:tcW w:w="1938" w:type="dxa"/>
          </w:tcPr>
          <w:p w14:paraId="5CCED75B" w14:textId="77777777" w:rsidR="00077B1D" w:rsidRPr="0086457C" w:rsidRDefault="00077B1D" w:rsidP="008F1C0A">
            <w:pPr>
              <w:rPr>
                <w:rFonts w:eastAsia="MS Mincho" w:cstheme="minorHAnsi"/>
                <w:lang w:val="en-GB" w:eastAsia="ja-JP"/>
              </w:rPr>
            </w:pPr>
            <w:r w:rsidRPr="000326F2">
              <w:rPr>
                <w:rFonts w:eastAsia="Times New Roman" w:cstheme="minorHAnsi"/>
                <w:i/>
                <w:iCs/>
                <w:lang w:val="en-GB"/>
              </w:rPr>
              <w:t>FeatureSetDownlink-v1610</w:t>
            </w:r>
          </w:p>
        </w:tc>
        <w:tc>
          <w:tcPr>
            <w:tcW w:w="461" w:type="dxa"/>
          </w:tcPr>
          <w:p w14:paraId="0628AFBB" w14:textId="77777777" w:rsidR="00077B1D" w:rsidRPr="0086457C" w:rsidRDefault="00077B1D" w:rsidP="008F1C0A">
            <w:pPr>
              <w:rPr>
                <w:rFonts w:eastAsia="MS Mincho" w:cstheme="minorHAnsi"/>
                <w:lang w:val="en-GB" w:eastAsia="ja-JP"/>
              </w:rPr>
            </w:pPr>
            <w:r w:rsidRPr="000326F2">
              <w:rPr>
                <w:rFonts w:eastAsia="Times New Roman" w:cstheme="minorHAnsi"/>
                <w:lang w:val="en-GB"/>
              </w:rPr>
              <w:t>n/a</w:t>
            </w:r>
          </w:p>
        </w:tc>
        <w:tc>
          <w:tcPr>
            <w:tcW w:w="461" w:type="dxa"/>
          </w:tcPr>
          <w:p w14:paraId="61EA3B19" w14:textId="77777777" w:rsidR="00077B1D" w:rsidRPr="0086457C" w:rsidRDefault="00077B1D" w:rsidP="008F1C0A">
            <w:pPr>
              <w:rPr>
                <w:rFonts w:eastAsia="MS Mincho" w:cstheme="minorHAnsi"/>
                <w:lang w:val="en-GB" w:eastAsia="ja-JP"/>
              </w:rPr>
            </w:pPr>
            <w:r w:rsidRPr="000326F2">
              <w:rPr>
                <w:rFonts w:eastAsia="Times New Roman" w:cstheme="minorHAnsi"/>
                <w:lang w:val="en-GB"/>
              </w:rPr>
              <w:t>n/a</w:t>
            </w:r>
          </w:p>
        </w:tc>
        <w:tc>
          <w:tcPr>
            <w:tcW w:w="1372" w:type="dxa"/>
          </w:tcPr>
          <w:p w14:paraId="71EA27B0" w14:textId="77777777" w:rsidR="00077B1D" w:rsidRPr="00EB5415" w:rsidRDefault="00077B1D" w:rsidP="008F1C0A">
            <w:pPr>
              <w:pStyle w:val="tal0"/>
              <w:spacing w:before="0" w:beforeAutospacing="0" w:after="0" w:afterAutospacing="0"/>
              <w:rPr>
                <w:rFonts w:asciiTheme="minorHAnsi" w:hAnsiTheme="minorHAnsi" w:cstheme="minorHAnsi"/>
                <w:color w:val="000000"/>
                <w:sz w:val="22"/>
                <w:szCs w:val="22"/>
              </w:rPr>
            </w:pPr>
            <w:r w:rsidRPr="00EB5415">
              <w:rPr>
                <w:rFonts w:asciiTheme="minorHAnsi" w:hAnsiTheme="minorHAnsi" w:cstheme="minorHAnsi"/>
                <w:color w:val="000000"/>
                <w:sz w:val="22"/>
                <w:szCs w:val="22"/>
                <w:lang w:val="en-GB"/>
              </w:rPr>
              <w:t>This capability is signalled for SCS 15 kHz and 30 kHz.</w:t>
            </w:r>
          </w:p>
          <w:p w14:paraId="3F018393" w14:textId="77777777" w:rsidR="00077B1D" w:rsidRPr="00EB5415" w:rsidRDefault="00077B1D" w:rsidP="008F1C0A">
            <w:pPr>
              <w:pStyle w:val="tal0"/>
              <w:spacing w:before="0" w:beforeAutospacing="0" w:after="0" w:afterAutospacing="0"/>
              <w:rPr>
                <w:rFonts w:asciiTheme="minorHAnsi" w:hAnsiTheme="minorHAnsi" w:cstheme="minorHAnsi"/>
                <w:color w:val="000000"/>
                <w:sz w:val="22"/>
                <w:szCs w:val="22"/>
              </w:rPr>
            </w:pPr>
            <w:r w:rsidRPr="00EB5415">
              <w:rPr>
                <w:rFonts w:asciiTheme="minorHAnsi" w:hAnsiTheme="minorHAnsi" w:cstheme="minorHAnsi"/>
                <w:color w:val="000000"/>
                <w:sz w:val="22"/>
                <w:szCs w:val="22"/>
                <w:lang w:val="en-GB"/>
              </w:rPr>
              <w:t> </w:t>
            </w:r>
          </w:p>
          <w:p w14:paraId="382162F6" w14:textId="77777777" w:rsidR="00077B1D" w:rsidRPr="00FA4E12" w:rsidRDefault="00077B1D" w:rsidP="008F1C0A">
            <w:pPr>
              <w:pStyle w:val="tal0"/>
              <w:spacing w:before="0" w:beforeAutospacing="0" w:after="0" w:afterAutospacing="0"/>
              <w:rPr>
                <w:rFonts w:asciiTheme="minorHAnsi" w:hAnsiTheme="minorHAnsi" w:cstheme="minorHAnsi"/>
                <w:color w:val="FF0000"/>
                <w:sz w:val="22"/>
                <w:szCs w:val="22"/>
              </w:rPr>
            </w:pPr>
            <w:r w:rsidRPr="00FA4E12">
              <w:rPr>
                <w:rFonts w:asciiTheme="minorHAnsi" w:hAnsiTheme="minorHAnsi" w:cstheme="minorHAnsi"/>
                <w:color w:val="FF0000"/>
                <w:sz w:val="22"/>
                <w:szCs w:val="22"/>
                <w:lang w:val="en-GB"/>
              </w:rPr>
              <w:t>For </w:t>
            </w:r>
            <m:oMath>
              <m:r>
                <w:rPr>
                  <w:rFonts w:ascii="Cambria Math" w:hAnsi="Cambria Math" w:cstheme="minorHAnsi"/>
                  <w:color w:val="FF0000"/>
                  <w:sz w:val="22"/>
                  <w:szCs w:val="22"/>
                  <w:lang w:val="en-GB"/>
                </w:rPr>
                <m:t>μ</m:t>
              </m:r>
            </m:oMath>
            <w:r w:rsidRPr="00FA4E12">
              <w:rPr>
                <w:rFonts w:asciiTheme="minorHAnsi" w:hAnsiTheme="minorHAnsi" w:cstheme="minorHAnsi"/>
                <w:color w:val="FF0000"/>
                <w:sz w:val="22"/>
                <w:szCs w:val="22"/>
                <w:lang w:val="en-GB"/>
              </w:rPr>
              <w:t xml:space="preserve"> =0 and 1, candidate value set for (X, Y, </w:t>
            </w:r>
            <m:oMath>
              <m:r>
                <w:rPr>
                  <w:rFonts w:ascii="Cambria Math" w:hAnsi="Cambria Math" w:cstheme="minorHAnsi"/>
                  <w:color w:val="FF0000"/>
                  <w:sz w:val="22"/>
                  <w:szCs w:val="22"/>
                  <w:lang w:val="en-GB"/>
                </w:rPr>
                <m:t>μ</m:t>
              </m:r>
            </m:oMath>
            <w:r w:rsidRPr="00FA4E12">
              <w:rPr>
                <w:rFonts w:asciiTheme="minorHAnsi" w:hAnsiTheme="minorHAnsi" w:cstheme="minorHAnsi"/>
                <w:color w:val="FF0000"/>
                <w:sz w:val="22"/>
                <w:szCs w:val="22"/>
                <w:lang w:val="en-GB"/>
              </w:rPr>
              <w:t>): {(7, 1, </w:t>
            </w:r>
            <m:oMath>
              <m:r>
                <w:rPr>
                  <w:rFonts w:ascii="Cambria Math" w:hAnsi="Cambria Math" w:cstheme="minorHAnsi"/>
                  <w:color w:val="FF0000"/>
                  <w:sz w:val="22"/>
                  <w:szCs w:val="22"/>
                  <w:lang w:val="en-GB"/>
                </w:rPr>
                <m:t>μ</m:t>
              </m:r>
            </m:oMath>
            <w:r w:rsidRPr="00FA4E12">
              <w:rPr>
                <w:rFonts w:asciiTheme="minorHAnsi" w:hAnsiTheme="minorHAnsi" w:cstheme="minorHAnsi"/>
                <w:color w:val="FF0000"/>
                <w:sz w:val="22"/>
                <w:szCs w:val="22"/>
                <w:lang w:val="en-GB"/>
              </w:rPr>
              <w:t>),  (4, 1, </w:t>
            </w:r>
            <m:oMath>
              <m:r>
                <w:rPr>
                  <w:rFonts w:ascii="Cambria Math" w:hAnsi="Cambria Math" w:cstheme="minorHAnsi"/>
                  <w:color w:val="FF0000"/>
                  <w:sz w:val="22"/>
                  <w:szCs w:val="22"/>
                  <w:lang w:val="en-GB"/>
                </w:rPr>
                <m:t>μ</m:t>
              </m:r>
            </m:oMath>
            <w:r w:rsidRPr="00FA4E12">
              <w:rPr>
                <w:rFonts w:asciiTheme="minorHAnsi" w:hAnsiTheme="minorHAnsi" w:cstheme="minorHAnsi"/>
                <w:color w:val="FF0000"/>
                <w:sz w:val="22"/>
                <w:szCs w:val="22"/>
                <w:lang w:val="en-GB"/>
              </w:rPr>
              <w:t>),  (2, 1, </w:t>
            </w:r>
            <m:oMath>
              <m:r>
                <w:rPr>
                  <w:rFonts w:ascii="Cambria Math" w:hAnsi="Cambria Math" w:cstheme="minorHAnsi"/>
                  <w:color w:val="FF0000"/>
                  <w:sz w:val="22"/>
                  <w:szCs w:val="22"/>
                  <w:lang w:val="en-GB"/>
                </w:rPr>
                <m:t>μ</m:t>
              </m:r>
            </m:oMath>
            <w:r w:rsidRPr="00FA4E12">
              <w:rPr>
                <w:rFonts w:asciiTheme="minorHAnsi" w:hAnsiTheme="minorHAnsi" w:cstheme="minorHAnsi"/>
                <w:color w:val="FF0000"/>
                <w:sz w:val="22"/>
                <w:szCs w:val="22"/>
                <w:lang w:val="en-GB"/>
              </w:rPr>
              <w:t>)}</w:t>
            </w:r>
          </w:p>
          <w:p w14:paraId="73DE58EC" w14:textId="77777777" w:rsidR="00077B1D" w:rsidRPr="00EB5415" w:rsidRDefault="00077B1D" w:rsidP="008F1C0A">
            <w:pPr>
              <w:pStyle w:val="tal0"/>
              <w:spacing w:before="0" w:beforeAutospacing="0" w:after="0" w:afterAutospacing="0"/>
              <w:rPr>
                <w:rFonts w:asciiTheme="minorHAnsi" w:hAnsiTheme="minorHAnsi" w:cstheme="minorHAnsi"/>
                <w:color w:val="000000"/>
                <w:sz w:val="22"/>
                <w:szCs w:val="22"/>
              </w:rPr>
            </w:pPr>
            <w:r w:rsidRPr="00EB5415">
              <w:rPr>
                <w:rFonts w:asciiTheme="minorHAnsi" w:hAnsiTheme="minorHAnsi" w:cstheme="minorHAnsi"/>
                <w:color w:val="000000"/>
                <w:sz w:val="22"/>
                <w:szCs w:val="22"/>
                <w:lang w:val="en-GB"/>
              </w:rPr>
              <w:t> </w:t>
            </w:r>
          </w:p>
          <w:p w14:paraId="3406429B" w14:textId="77777777" w:rsidR="00077B1D" w:rsidRPr="00EB5415" w:rsidRDefault="00077B1D" w:rsidP="008F1C0A">
            <w:pPr>
              <w:pStyle w:val="tal0"/>
              <w:spacing w:before="0" w:beforeAutospacing="0" w:after="0" w:afterAutospacing="0"/>
              <w:rPr>
                <w:rFonts w:asciiTheme="minorHAnsi" w:hAnsiTheme="minorHAnsi" w:cstheme="minorHAnsi"/>
                <w:color w:val="000000"/>
                <w:sz w:val="22"/>
                <w:szCs w:val="22"/>
              </w:rPr>
            </w:pPr>
            <w:r w:rsidRPr="00EB5415">
              <w:rPr>
                <w:rFonts w:asciiTheme="minorHAnsi" w:hAnsiTheme="minorHAnsi" w:cstheme="minorHAnsi"/>
                <w:color w:val="000000"/>
                <w:sz w:val="22"/>
                <w:szCs w:val="22"/>
                <w:lang w:val="en-GB"/>
              </w:rPr>
              <w:t>For component 1, a list of separate UE capabilities (X, Y, </w:t>
            </w:r>
            <m:oMath>
              <m:r>
                <w:rPr>
                  <w:rFonts w:ascii="Cambria Math" w:hAnsi="Cambria Math" w:cstheme="minorHAnsi"/>
                  <w:color w:val="000000"/>
                  <w:sz w:val="22"/>
                  <w:szCs w:val="22"/>
                  <w:lang w:val="en-GB"/>
                </w:rPr>
                <m:t>μ</m:t>
              </m:r>
            </m:oMath>
            <w:r w:rsidRPr="00EB5415">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w:t>
            </w:r>
            <w:r w:rsidRPr="00EB5415">
              <w:rPr>
                <w:rFonts w:asciiTheme="minorHAnsi" w:hAnsiTheme="minorHAnsi" w:cstheme="minorHAnsi"/>
                <w:color w:val="000000"/>
                <w:sz w:val="22"/>
                <w:szCs w:val="22"/>
                <w:lang w:val="en-GB"/>
              </w:rPr>
              <w:t>for processing capability #1;</w:t>
            </w:r>
          </w:p>
          <w:p w14:paraId="6F360B4C" w14:textId="77777777" w:rsidR="00077B1D" w:rsidRPr="00EB5415" w:rsidRDefault="00077B1D" w:rsidP="008F1C0A">
            <w:pPr>
              <w:pStyle w:val="tal0"/>
              <w:spacing w:before="0" w:beforeAutospacing="0" w:after="0" w:afterAutospacing="0"/>
              <w:rPr>
                <w:rFonts w:asciiTheme="minorHAnsi" w:hAnsiTheme="minorHAnsi" w:cstheme="minorHAnsi"/>
                <w:color w:val="000000"/>
                <w:sz w:val="22"/>
                <w:szCs w:val="22"/>
              </w:rPr>
            </w:pPr>
            <w:r w:rsidRPr="00EB5415">
              <w:rPr>
                <w:rFonts w:asciiTheme="minorHAnsi" w:hAnsiTheme="minorHAnsi" w:cstheme="minorHAnsi"/>
                <w:color w:val="000000"/>
                <w:sz w:val="22"/>
                <w:szCs w:val="22"/>
                <w:lang w:val="en-GB"/>
              </w:rPr>
              <w:t> </w:t>
            </w:r>
          </w:p>
          <w:p w14:paraId="075C5E65" w14:textId="77777777" w:rsidR="00077B1D" w:rsidRPr="00EB5415" w:rsidRDefault="00077B1D" w:rsidP="008F1C0A">
            <w:pPr>
              <w:pStyle w:val="tal0"/>
              <w:spacing w:before="0" w:beforeAutospacing="0" w:after="0" w:afterAutospacing="0"/>
              <w:rPr>
                <w:rFonts w:asciiTheme="minorHAnsi" w:hAnsiTheme="minorHAnsi" w:cstheme="minorHAnsi"/>
                <w:color w:val="000000"/>
                <w:sz w:val="22"/>
                <w:szCs w:val="22"/>
              </w:rPr>
            </w:pPr>
            <w:r w:rsidRPr="00EB5415">
              <w:rPr>
                <w:rFonts w:asciiTheme="minorHAnsi" w:hAnsiTheme="minorHAnsi" w:cstheme="minorHAnsi"/>
                <w:color w:val="000000"/>
                <w:sz w:val="22"/>
                <w:szCs w:val="22"/>
                <w:lang w:val="en-GB"/>
              </w:rPr>
              <w:t>For component 1, a list of separate UE capabilities (X, Y, </w:t>
            </w:r>
            <m:oMath>
              <m:r>
                <w:rPr>
                  <w:rFonts w:ascii="Cambria Math" w:hAnsi="Cambria Math" w:cstheme="minorHAnsi"/>
                  <w:color w:val="000000"/>
                  <w:sz w:val="22"/>
                  <w:szCs w:val="22"/>
                  <w:lang w:val="en-GB"/>
                </w:rPr>
                <m:t>μ</m:t>
              </m:r>
            </m:oMath>
            <w:r w:rsidRPr="00EB5415">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w:t>
            </w:r>
            <w:r w:rsidRPr="00EB5415">
              <w:rPr>
                <w:rFonts w:asciiTheme="minorHAnsi" w:hAnsiTheme="minorHAnsi" w:cstheme="minorHAnsi"/>
                <w:color w:val="000000"/>
                <w:sz w:val="22"/>
                <w:szCs w:val="22"/>
                <w:lang w:val="en-GB"/>
              </w:rPr>
              <w:t xml:space="preserve">for </w:t>
            </w:r>
            <w:r w:rsidRPr="00EB5415">
              <w:rPr>
                <w:rFonts w:asciiTheme="minorHAnsi" w:hAnsiTheme="minorHAnsi" w:cstheme="minorHAnsi"/>
                <w:color w:val="000000"/>
                <w:sz w:val="22"/>
                <w:szCs w:val="22"/>
                <w:lang w:val="en-GB"/>
              </w:rPr>
              <w:lastRenderedPageBreak/>
              <w:t>processing capability #2;</w:t>
            </w:r>
          </w:p>
          <w:p w14:paraId="7D9DFEDC" w14:textId="77777777" w:rsidR="00077B1D" w:rsidRPr="00EB5415" w:rsidRDefault="00077B1D" w:rsidP="008F1C0A">
            <w:pPr>
              <w:rPr>
                <w:rFonts w:eastAsia="Times New Roman" w:cstheme="minorHAnsi"/>
                <w:sz w:val="28"/>
                <w:szCs w:val="28"/>
              </w:rPr>
            </w:pPr>
            <w:r w:rsidRPr="000326F2">
              <w:rPr>
                <w:rFonts w:eastAsia="Times New Roman" w:cstheme="minorHAnsi"/>
                <w:sz w:val="28"/>
                <w:szCs w:val="28"/>
                <w:lang w:val="en-GB"/>
              </w:rPr>
              <w:t> </w:t>
            </w:r>
          </w:p>
          <w:p w14:paraId="31474AA3" w14:textId="77777777" w:rsidR="00077B1D" w:rsidRPr="0086457C" w:rsidRDefault="00077B1D" w:rsidP="008F1C0A">
            <w:pPr>
              <w:rPr>
                <w:rFonts w:eastAsia="MS Mincho" w:cstheme="minorHAnsi"/>
                <w:lang w:val="en-GB" w:eastAsia="ja-JP"/>
              </w:rPr>
            </w:pPr>
          </w:p>
        </w:tc>
        <w:tc>
          <w:tcPr>
            <w:tcW w:w="900" w:type="dxa"/>
          </w:tcPr>
          <w:p w14:paraId="17072DDA" w14:textId="77777777" w:rsidR="00077B1D" w:rsidRPr="0086457C" w:rsidRDefault="00077B1D" w:rsidP="008F1C0A">
            <w:pPr>
              <w:rPr>
                <w:rFonts w:eastAsia="MS Mincho" w:cstheme="minorHAnsi"/>
                <w:lang w:val="en-GB" w:eastAsia="ja-JP"/>
              </w:rPr>
            </w:pPr>
            <w:r w:rsidRPr="000326F2">
              <w:rPr>
                <w:rFonts w:eastAsia="Times New Roman" w:cstheme="minorHAnsi"/>
                <w:lang w:val="en-GB"/>
              </w:rPr>
              <w:lastRenderedPageBreak/>
              <w:t>Optional with capability signalling</w:t>
            </w:r>
          </w:p>
        </w:tc>
      </w:tr>
    </w:tbl>
    <w:p w14:paraId="139A370F" w14:textId="481007FF" w:rsidR="0003213B" w:rsidRDefault="005A17FC" w:rsidP="005B067D">
      <w:pPr>
        <w:jc w:val="both"/>
        <w:rPr>
          <w:lang w:eastAsia="ko-KR"/>
        </w:rPr>
      </w:pPr>
      <w:r>
        <w:rPr>
          <w:lang w:eastAsia="ko-KR"/>
        </w:rPr>
        <w:t xml:space="preserve"> </w:t>
      </w:r>
    </w:p>
    <w:p w14:paraId="2A0F8BAB" w14:textId="7FBBE001" w:rsidR="005A17FC" w:rsidRDefault="005A17FC" w:rsidP="005B067D">
      <w:pPr>
        <w:jc w:val="both"/>
        <w:rPr>
          <w:lang w:eastAsia="ko-KR"/>
        </w:rPr>
      </w:pPr>
      <w:r>
        <w:rPr>
          <w:lang w:eastAsia="ko-KR"/>
        </w:rPr>
        <w:t xml:space="preserve">It is further proposed to introduce mirrored version of </w:t>
      </w:r>
      <w:r w:rsidR="00686773">
        <w:rPr>
          <w:rFonts w:eastAsia="MS Mincho"/>
          <w:lang w:val="en-GB" w:eastAsia="ja-JP"/>
        </w:rPr>
        <w:t>FG 11-2a, 11-2b, 11-2c, 11-2d, 11-2e, 11-2f and 11-2g</w:t>
      </w:r>
      <w:r w:rsidR="00686773">
        <w:rPr>
          <w:rFonts w:eastAsia="MS Mincho"/>
          <w:lang w:val="en-GB" w:eastAsia="ja-JP"/>
        </w:rPr>
        <w:t xml:space="preserve">, where the prerequisite of FG 11-2 is replaced by FG 11-2x. </w:t>
      </w:r>
      <w:r w:rsidR="00C64332">
        <w:rPr>
          <w:rFonts w:eastAsia="MS Mincho"/>
          <w:lang w:val="en-GB" w:eastAsia="ja-JP"/>
        </w:rPr>
        <w:t xml:space="preserve">Note that </w:t>
      </w:r>
      <w:r w:rsidR="0082270A">
        <w:rPr>
          <w:rFonts w:eastAsia="MS Mincho"/>
          <w:lang w:val="en-GB" w:eastAsia="ja-JP"/>
        </w:rPr>
        <w:t xml:space="preserve">FG 11-2x can also be added to </w:t>
      </w:r>
      <w:r w:rsidR="0082270A">
        <w:rPr>
          <w:rFonts w:eastAsia="MS Mincho"/>
          <w:lang w:val="en-GB" w:eastAsia="ja-JP"/>
        </w:rPr>
        <w:t xml:space="preserve">FG 11-2a, 11-2b, 11-2c, 11-2d, 11-2e, 11-2f and 11-2g </w:t>
      </w:r>
      <w:r w:rsidR="0082270A">
        <w:rPr>
          <w:rFonts w:eastAsia="MS Mincho"/>
          <w:lang w:val="en-GB" w:eastAsia="ja-JP"/>
        </w:rPr>
        <w:t xml:space="preserve">as a prerequisite directly; however, </w:t>
      </w:r>
      <w:r w:rsidR="00F12028">
        <w:rPr>
          <w:rFonts w:eastAsia="MS Mincho"/>
          <w:lang w:val="en-GB" w:eastAsia="ja-JP"/>
        </w:rPr>
        <w:t xml:space="preserve">the proposed approach above is to address any concern that may arise regarding backward compatibility. </w:t>
      </w:r>
      <w:r>
        <w:rPr>
          <w:lang w:eastAsia="ko-KR"/>
        </w:rPr>
        <w:t xml:space="preserve"> </w:t>
      </w:r>
    </w:p>
    <w:p w14:paraId="4521AB08" w14:textId="6FD345F9" w:rsidR="0065324C" w:rsidRDefault="00347D4A" w:rsidP="000C1FD2">
      <w:pPr>
        <w:pStyle w:val="Heading1"/>
        <w:ind w:left="0" w:firstLine="0"/>
        <w:jc w:val="both"/>
      </w:pPr>
      <w:r>
        <w:t xml:space="preserve">2         </w:t>
      </w:r>
      <w:r w:rsidR="000C1FD2">
        <w:t xml:space="preserve">Proposals and </w:t>
      </w:r>
      <w:r w:rsidR="00B92420">
        <w:t xml:space="preserve">Summary of </w:t>
      </w:r>
      <w:r w:rsidR="000C1FD2">
        <w:t>Views</w:t>
      </w:r>
    </w:p>
    <w:p w14:paraId="3392DF6D" w14:textId="28F8741B" w:rsidR="000C1FD2" w:rsidRDefault="000C1FD2" w:rsidP="000C1FD2">
      <w:pPr>
        <w:jc w:val="both"/>
        <w:rPr>
          <w:lang w:eastAsia="ko-KR"/>
        </w:rPr>
      </w:pPr>
      <w:r w:rsidRPr="00DD2BF6">
        <w:rPr>
          <w:b/>
          <w:bCs/>
          <w:lang w:eastAsia="ko-KR"/>
        </w:rPr>
        <w:t>Question #1:</w:t>
      </w:r>
      <w:r>
        <w:rPr>
          <w:lang w:eastAsia="ko-KR"/>
        </w:rPr>
        <w:t xml:space="preserve"> </w:t>
      </w:r>
      <w:r w:rsidR="0027264B">
        <w:rPr>
          <w:lang w:eastAsia="ko-KR"/>
        </w:rPr>
        <w:t xml:space="preserve">Do you agree to introduce </w:t>
      </w:r>
      <w:r w:rsidR="006C18A0">
        <w:rPr>
          <w:lang w:eastAsia="ko-KR"/>
        </w:rPr>
        <w:t xml:space="preserve">a R16 </w:t>
      </w:r>
      <w:r w:rsidR="0027264B">
        <w:rPr>
          <w:lang w:eastAsia="ko-KR"/>
        </w:rPr>
        <w:t>FG 11-2x as proposed above to support (X,Y) = {(2,1),(</w:t>
      </w:r>
      <w:r w:rsidR="004C3CC7">
        <w:rPr>
          <w:lang w:eastAsia="ko-KR"/>
        </w:rPr>
        <w:t xml:space="preserve">4,1),(7,1)} span patterns? If you support only a subset of the patterns or would prefer to propose </w:t>
      </w:r>
      <w:r w:rsidR="000613BB">
        <w:rPr>
          <w:lang w:eastAsia="ko-KR"/>
        </w:rPr>
        <w:t xml:space="preserve">different ones, please include them in the table below. </w:t>
      </w:r>
    </w:p>
    <w:tbl>
      <w:tblPr>
        <w:tblStyle w:val="TableGrid"/>
        <w:tblW w:w="0" w:type="auto"/>
        <w:tblLook w:val="04A0" w:firstRow="1" w:lastRow="0" w:firstColumn="1" w:lastColumn="0" w:noHBand="0" w:noVBand="1"/>
      </w:tblPr>
      <w:tblGrid>
        <w:gridCol w:w="2065"/>
        <w:gridCol w:w="1350"/>
        <w:gridCol w:w="8280"/>
      </w:tblGrid>
      <w:tr w:rsidR="0027264B" w14:paraId="796CD82E" w14:textId="77777777" w:rsidTr="000613BB">
        <w:tc>
          <w:tcPr>
            <w:tcW w:w="2065" w:type="dxa"/>
          </w:tcPr>
          <w:p w14:paraId="5D197255" w14:textId="027CCF3B" w:rsidR="0027264B" w:rsidRDefault="0027264B" w:rsidP="005736D5">
            <w:pPr>
              <w:jc w:val="center"/>
              <w:rPr>
                <w:lang w:eastAsia="ko-KR"/>
              </w:rPr>
            </w:pPr>
            <w:r>
              <w:rPr>
                <w:lang w:eastAsia="ko-KR"/>
              </w:rPr>
              <w:t>Company</w:t>
            </w:r>
          </w:p>
        </w:tc>
        <w:tc>
          <w:tcPr>
            <w:tcW w:w="1350" w:type="dxa"/>
          </w:tcPr>
          <w:p w14:paraId="34441613" w14:textId="2EED9F05" w:rsidR="0027264B" w:rsidRDefault="0027264B" w:rsidP="005736D5">
            <w:pPr>
              <w:jc w:val="center"/>
              <w:rPr>
                <w:lang w:eastAsia="ko-KR"/>
              </w:rPr>
            </w:pPr>
            <w:r>
              <w:rPr>
                <w:lang w:eastAsia="ko-KR"/>
              </w:rPr>
              <w:t>Yes/No</w:t>
            </w:r>
          </w:p>
        </w:tc>
        <w:tc>
          <w:tcPr>
            <w:tcW w:w="8280" w:type="dxa"/>
          </w:tcPr>
          <w:p w14:paraId="330F9FA9" w14:textId="072DC146" w:rsidR="0027264B" w:rsidRDefault="0027264B" w:rsidP="005736D5">
            <w:pPr>
              <w:jc w:val="center"/>
              <w:rPr>
                <w:lang w:eastAsia="ko-KR"/>
              </w:rPr>
            </w:pPr>
            <w:r>
              <w:rPr>
                <w:lang w:eastAsia="ko-KR"/>
              </w:rPr>
              <w:t>Comments</w:t>
            </w:r>
          </w:p>
        </w:tc>
      </w:tr>
      <w:tr w:rsidR="0027264B" w14:paraId="7B04F01F" w14:textId="77777777" w:rsidTr="000613BB">
        <w:tc>
          <w:tcPr>
            <w:tcW w:w="2065" w:type="dxa"/>
          </w:tcPr>
          <w:p w14:paraId="5FAE48FB" w14:textId="77777777" w:rsidR="0027264B" w:rsidRDefault="0027264B" w:rsidP="000C1FD2">
            <w:pPr>
              <w:rPr>
                <w:lang w:eastAsia="ko-KR"/>
              </w:rPr>
            </w:pPr>
          </w:p>
        </w:tc>
        <w:tc>
          <w:tcPr>
            <w:tcW w:w="1350" w:type="dxa"/>
          </w:tcPr>
          <w:p w14:paraId="3C32B128" w14:textId="6B51561F" w:rsidR="0027264B" w:rsidRDefault="0027264B" w:rsidP="000C1FD2">
            <w:pPr>
              <w:rPr>
                <w:lang w:eastAsia="ko-KR"/>
              </w:rPr>
            </w:pPr>
          </w:p>
        </w:tc>
        <w:tc>
          <w:tcPr>
            <w:tcW w:w="8280" w:type="dxa"/>
          </w:tcPr>
          <w:p w14:paraId="7FC31B8D" w14:textId="77777777" w:rsidR="0027264B" w:rsidRDefault="0027264B" w:rsidP="000C1FD2">
            <w:pPr>
              <w:rPr>
                <w:lang w:eastAsia="ko-KR"/>
              </w:rPr>
            </w:pPr>
          </w:p>
        </w:tc>
      </w:tr>
      <w:tr w:rsidR="0027264B" w14:paraId="5F47CF4D" w14:textId="77777777" w:rsidTr="000613BB">
        <w:tc>
          <w:tcPr>
            <w:tcW w:w="2065" w:type="dxa"/>
          </w:tcPr>
          <w:p w14:paraId="077CD7DE" w14:textId="77777777" w:rsidR="0027264B" w:rsidRDefault="0027264B" w:rsidP="000C1FD2">
            <w:pPr>
              <w:rPr>
                <w:lang w:eastAsia="ko-KR"/>
              </w:rPr>
            </w:pPr>
          </w:p>
        </w:tc>
        <w:tc>
          <w:tcPr>
            <w:tcW w:w="1350" w:type="dxa"/>
          </w:tcPr>
          <w:p w14:paraId="5B7203D6" w14:textId="27BFAF39" w:rsidR="0027264B" w:rsidRDefault="0027264B" w:rsidP="000C1FD2">
            <w:pPr>
              <w:rPr>
                <w:lang w:eastAsia="ko-KR"/>
              </w:rPr>
            </w:pPr>
          </w:p>
        </w:tc>
        <w:tc>
          <w:tcPr>
            <w:tcW w:w="8280" w:type="dxa"/>
          </w:tcPr>
          <w:p w14:paraId="400A1EAE" w14:textId="77777777" w:rsidR="0027264B" w:rsidRDefault="0027264B" w:rsidP="000C1FD2">
            <w:pPr>
              <w:rPr>
                <w:lang w:eastAsia="ko-KR"/>
              </w:rPr>
            </w:pPr>
          </w:p>
        </w:tc>
      </w:tr>
    </w:tbl>
    <w:p w14:paraId="4F30365F" w14:textId="27CECD0A" w:rsidR="00A861F8" w:rsidRDefault="00A861F8" w:rsidP="000C1FD2">
      <w:pPr>
        <w:jc w:val="both"/>
        <w:rPr>
          <w:lang w:eastAsia="ko-KR"/>
        </w:rPr>
      </w:pPr>
    </w:p>
    <w:p w14:paraId="173050A7" w14:textId="77777777" w:rsidR="000C1FD2" w:rsidRPr="000C1FD2" w:rsidRDefault="000C1FD2" w:rsidP="000C1FD2">
      <w:pPr>
        <w:rPr>
          <w:lang w:val="en-GB"/>
        </w:rPr>
      </w:pPr>
    </w:p>
    <w:p w14:paraId="52B413C7" w14:textId="423A55AE" w:rsidR="00307075" w:rsidRDefault="00846400" w:rsidP="00307075">
      <w:pPr>
        <w:pStyle w:val="Heading1"/>
        <w:ind w:left="0" w:firstLine="0"/>
        <w:jc w:val="both"/>
      </w:pPr>
      <w:r>
        <w:t>3</w:t>
      </w:r>
      <w:r w:rsidR="00307075">
        <w:t xml:space="preserve">        Summary</w:t>
      </w:r>
    </w:p>
    <w:p w14:paraId="6B19D66C" w14:textId="3AEC30FC" w:rsidR="009B53E0" w:rsidRPr="0026628E" w:rsidRDefault="00846400" w:rsidP="00846400">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14:paraId="43A8ED36" w14:textId="3B4A9642" w:rsidR="001527C9" w:rsidRDefault="00846400" w:rsidP="000D3391">
      <w:pPr>
        <w:pStyle w:val="Heading1"/>
        <w:ind w:left="0" w:firstLine="0"/>
        <w:jc w:val="both"/>
      </w:pPr>
      <w:r>
        <w:t>4</w:t>
      </w:r>
      <w:r w:rsidR="000D3391">
        <w:t xml:space="preserve">        </w:t>
      </w:r>
      <w:r w:rsidR="00A50C7D">
        <w:t>References</w:t>
      </w:r>
    </w:p>
    <w:p w14:paraId="38DEE2E3" w14:textId="20A1B5E5" w:rsidR="00300FCF" w:rsidRDefault="00A676C8" w:rsidP="00A50C7D">
      <w:pPr>
        <w:rPr>
          <w:b/>
          <w:bCs/>
          <w:lang w:val="en-GB"/>
        </w:rPr>
      </w:pPr>
      <w:r w:rsidRPr="00446310">
        <w:rPr>
          <w:b/>
          <w:bCs/>
          <w:lang w:val="en-GB"/>
        </w:rPr>
        <w:t>[1] R1-2</w:t>
      </w:r>
      <w:r w:rsidR="004B4E5A">
        <w:rPr>
          <w:b/>
          <w:bCs/>
          <w:lang w:val="en-GB"/>
        </w:rPr>
        <w:t>207172</w:t>
      </w:r>
      <w:r w:rsidRPr="00446310">
        <w:rPr>
          <w:b/>
          <w:bCs/>
          <w:lang w:val="en-GB"/>
        </w:rPr>
        <w:t>, “</w:t>
      </w:r>
      <w:r w:rsidR="00786D46">
        <w:rPr>
          <w:b/>
          <w:bCs/>
          <w:i/>
          <w:iCs/>
          <w:lang w:val="en-GB"/>
        </w:rPr>
        <w:t>Maintenance for R16 eURLLC</w:t>
      </w:r>
      <w:r w:rsidR="00C9409F">
        <w:rPr>
          <w:b/>
          <w:bCs/>
          <w:lang w:val="en-GB"/>
        </w:rPr>
        <w:t>,”</w:t>
      </w:r>
      <w:r w:rsidR="00347D4A">
        <w:rPr>
          <w:b/>
          <w:bCs/>
          <w:lang w:val="en-GB"/>
        </w:rPr>
        <w:t xml:space="preserve"> </w:t>
      </w:r>
      <w:r w:rsidR="00786D46">
        <w:rPr>
          <w:b/>
          <w:bCs/>
          <w:lang w:val="en-GB"/>
        </w:rPr>
        <w:t>Qualcomm</w:t>
      </w:r>
    </w:p>
    <w:p w14:paraId="1DB00F5B" w14:textId="77777777" w:rsidR="00A3039D" w:rsidRPr="00347D4A" w:rsidRDefault="00A3039D" w:rsidP="006B566B">
      <w:pPr>
        <w:rPr>
          <w:b/>
          <w:bCs/>
          <w:lang w:val="en-GB"/>
        </w:rPr>
      </w:pPr>
    </w:p>
    <w:p w14:paraId="59EF5D45" w14:textId="77777777" w:rsidR="006B566B" w:rsidRPr="00347D4A" w:rsidRDefault="006B566B" w:rsidP="00A50C7D">
      <w:pPr>
        <w:rPr>
          <w:b/>
          <w:bCs/>
          <w:lang w:val="en-GB"/>
        </w:rPr>
      </w:pPr>
    </w:p>
    <w:sectPr w:rsidR="006B566B" w:rsidRPr="00347D4A" w:rsidSect="004F26FD">
      <w:headerReference w:type="even" r:id="rId11"/>
      <w:footerReference w:type="even" r:id="rId12"/>
      <w:footerReference w:type="default" r:id="rId13"/>
      <w:footnotePr>
        <w:numRestart w:val="eachSect"/>
      </w:footnotePr>
      <w:type w:val="continuous"/>
      <w:pgSz w:w="28800" w:h="16834" w:code="9"/>
      <w:pgMar w:top="1411" w:right="8568" w:bottom="1253" w:left="8525"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5ABC" w14:textId="77777777" w:rsidR="008A1E41" w:rsidRDefault="008A1E41">
      <w:r>
        <w:separator/>
      </w:r>
    </w:p>
  </w:endnote>
  <w:endnote w:type="continuationSeparator" w:id="0">
    <w:p w14:paraId="344B214B" w14:textId="77777777" w:rsidR="008A1E41" w:rsidRDefault="008A1E41">
      <w:r>
        <w:continuationSeparator/>
      </w:r>
    </w:p>
  </w:endnote>
  <w:endnote w:type="continuationNotice" w:id="1">
    <w:p w14:paraId="274A5311" w14:textId="77777777" w:rsidR="008A1E41" w:rsidRDefault="008A1E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930" w14:textId="77777777" w:rsidR="00347D4A" w:rsidRDefault="00347D4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347D4A" w:rsidRDefault="00347D4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4E8F" w14:textId="77777777" w:rsidR="00347D4A" w:rsidRDefault="00347D4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A8FE" w14:textId="77777777" w:rsidR="008A1E41" w:rsidRDefault="008A1E41">
      <w:r>
        <w:separator/>
      </w:r>
    </w:p>
  </w:footnote>
  <w:footnote w:type="continuationSeparator" w:id="0">
    <w:p w14:paraId="226BFC78" w14:textId="77777777" w:rsidR="008A1E41" w:rsidRDefault="008A1E41">
      <w:r>
        <w:continuationSeparator/>
      </w:r>
    </w:p>
  </w:footnote>
  <w:footnote w:type="continuationNotice" w:id="1">
    <w:p w14:paraId="4AFD856E" w14:textId="77777777" w:rsidR="008A1E41" w:rsidRDefault="008A1E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C5B5" w14:textId="77777777" w:rsidR="00347D4A" w:rsidRDefault="00347D4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24017"/>
    <w:multiLevelType w:val="hybridMultilevel"/>
    <w:tmpl w:val="D8363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17973"/>
    <w:multiLevelType w:val="hybridMultilevel"/>
    <w:tmpl w:val="8278CECE"/>
    <w:lvl w:ilvl="0" w:tplc="673004BC">
      <w:numFmt w:val="bullet"/>
      <w:lvlText w:val="•"/>
      <w:lvlJc w:val="left"/>
      <w:pPr>
        <w:ind w:left="720" w:hanging="360"/>
      </w:pPr>
      <w:rPr>
        <w:rFonts w:ascii="Times New Roman" w:eastAsia="SimSu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0300A"/>
    <w:multiLevelType w:val="hybridMultilevel"/>
    <w:tmpl w:val="6A6E644C"/>
    <w:lvl w:ilvl="0" w:tplc="A134BF92">
      <w:start w:val="1"/>
      <w:numFmt w:val="bullet"/>
      <w:lvlText w:val=""/>
      <w:lvlJc w:val="left"/>
      <w:pPr>
        <w:ind w:left="1424" w:hanging="420"/>
      </w:pPr>
      <w:rPr>
        <w:rFonts w:ascii="Wingdings" w:hAnsi="Wingdings" w:hint="default"/>
      </w:rPr>
    </w:lvl>
    <w:lvl w:ilvl="1" w:tplc="04090003" w:tentative="1">
      <w:start w:val="1"/>
      <w:numFmt w:val="bullet"/>
      <w:lvlText w:val=""/>
      <w:lvlJc w:val="left"/>
      <w:pPr>
        <w:ind w:left="1844" w:hanging="420"/>
      </w:pPr>
      <w:rPr>
        <w:rFonts w:ascii="Wingdings" w:hAnsi="Wingdings" w:hint="default"/>
      </w:rPr>
    </w:lvl>
    <w:lvl w:ilvl="2" w:tplc="04090005"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3" w:tentative="1">
      <w:start w:val="1"/>
      <w:numFmt w:val="bullet"/>
      <w:lvlText w:val=""/>
      <w:lvlJc w:val="left"/>
      <w:pPr>
        <w:ind w:left="3104" w:hanging="420"/>
      </w:pPr>
      <w:rPr>
        <w:rFonts w:ascii="Wingdings" w:hAnsi="Wingdings" w:hint="default"/>
      </w:rPr>
    </w:lvl>
    <w:lvl w:ilvl="5" w:tplc="04090005"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3" w:tentative="1">
      <w:start w:val="1"/>
      <w:numFmt w:val="bullet"/>
      <w:lvlText w:val=""/>
      <w:lvlJc w:val="left"/>
      <w:pPr>
        <w:ind w:left="4364" w:hanging="420"/>
      </w:pPr>
      <w:rPr>
        <w:rFonts w:ascii="Wingdings" w:hAnsi="Wingdings" w:hint="default"/>
      </w:rPr>
    </w:lvl>
    <w:lvl w:ilvl="8" w:tplc="04090005" w:tentative="1">
      <w:start w:val="1"/>
      <w:numFmt w:val="bullet"/>
      <w:lvlText w:val=""/>
      <w:lvlJc w:val="left"/>
      <w:pPr>
        <w:ind w:left="4784" w:hanging="420"/>
      </w:pPr>
      <w:rPr>
        <w:rFonts w:ascii="Wingdings" w:hAnsi="Wingdings" w:hint="default"/>
      </w:rPr>
    </w:lvl>
  </w:abstractNum>
  <w:abstractNum w:abstractNumId="16"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59E60E04"/>
    <w:multiLevelType w:val="hybridMultilevel"/>
    <w:tmpl w:val="D74284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1"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500955">
    <w:abstractNumId w:val="8"/>
  </w:num>
  <w:num w:numId="2" w16cid:durableId="326594691">
    <w:abstractNumId w:val="0"/>
  </w:num>
  <w:num w:numId="3" w16cid:durableId="1288660294">
    <w:abstractNumId w:val="5"/>
  </w:num>
  <w:num w:numId="4" w16cid:durableId="68966275">
    <w:abstractNumId w:val="6"/>
  </w:num>
  <w:num w:numId="5" w16cid:durableId="573124867">
    <w:abstractNumId w:val="24"/>
  </w:num>
  <w:num w:numId="6" w16cid:durableId="2144734527">
    <w:abstractNumId w:val="31"/>
  </w:num>
  <w:num w:numId="7" w16cid:durableId="49428945">
    <w:abstractNumId w:val="25"/>
  </w:num>
  <w:num w:numId="8" w16cid:durableId="1379474322">
    <w:abstractNumId w:val="1"/>
  </w:num>
  <w:num w:numId="9" w16cid:durableId="127089892">
    <w:abstractNumId w:val="33"/>
  </w:num>
  <w:num w:numId="10" w16cid:durableId="1271400210">
    <w:abstractNumId w:val="13"/>
  </w:num>
  <w:num w:numId="11" w16cid:durableId="1605531452">
    <w:abstractNumId w:val="22"/>
  </w:num>
  <w:num w:numId="12" w16cid:durableId="721635882">
    <w:abstractNumId w:val="20"/>
  </w:num>
  <w:num w:numId="13" w16cid:durableId="707992634">
    <w:abstractNumId w:val="18"/>
  </w:num>
  <w:num w:numId="14" w16cid:durableId="2092659844">
    <w:abstractNumId w:val="28"/>
  </w:num>
  <w:num w:numId="15" w16cid:durableId="485586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4734007">
    <w:abstractNumId w:val="34"/>
  </w:num>
  <w:num w:numId="17" w16cid:durableId="1443955535">
    <w:abstractNumId w:val="35"/>
  </w:num>
  <w:num w:numId="18" w16cid:durableId="1650938413">
    <w:abstractNumId w:val="9"/>
  </w:num>
  <w:num w:numId="19" w16cid:durableId="1135566794">
    <w:abstractNumId w:val="12"/>
  </w:num>
  <w:num w:numId="20" w16cid:durableId="758406337">
    <w:abstractNumId w:val="21"/>
  </w:num>
  <w:num w:numId="21" w16cid:durableId="1212691355">
    <w:abstractNumId w:val="29"/>
  </w:num>
  <w:num w:numId="22" w16cid:durableId="2025130662">
    <w:abstractNumId w:val="7"/>
  </w:num>
  <w:num w:numId="23" w16cid:durableId="957445684">
    <w:abstractNumId w:val="17"/>
  </w:num>
  <w:num w:numId="24" w16cid:durableId="100809190">
    <w:abstractNumId w:val="32"/>
  </w:num>
  <w:num w:numId="25" w16cid:durableId="348140167">
    <w:abstractNumId w:val="27"/>
  </w:num>
  <w:num w:numId="26" w16cid:durableId="134876072">
    <w:abstractNumId w:val="14"/>
  </w:num>
  <w:num w:numId="27" w16cid:durableId="515920088">
    <w:abstractNumId w:val="16"/>
  </w:num>
  <w:num w:numId="28" w16cid:durableId="218443331">
    <w:abstractNumId w:val="26"/>
  </w:num>
  <w:num w:numId="29" w16cid:durableId="1268580419">
    <w:abstractNumId w:val="19"/>
  </w:num>
  <w:num w:numId="30" w16cid:durableId="1967082818">
    <w:abstractNumId w:val="3"/>
  </w:num>
  <w:num w:numId="31" w16cid:durableId="904073596">
    <w:abstractNumId w:val="15"/>
  </w:num>
  <w:num w:numId="32" w16cid:durableId="1294481913">
    <w:abstractNumId w:val="11"/>
  </w:num>
  <w:num w:numId="33" w16cid:durableId="2079402480">
    <w:abstractNumId w:val="30"/>
  </w:num>
  <w:num w:numId="34" w16cid:durableId="547305551">
    <w:abstractNumId w:val="4"/>
  </w:num>
  <w:num w:numId="35" w16cid:durableId="1974749131">
    <w:abstractNumId w:val="2"/>
  </w:num>
  <w:num w:numId="36" w16cid:durableId="473838444">
    <w:abstractNumId w:val="23"/>
  </w:num>
  <w:num w:numId="37" w16cid:durableId="10539488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13B"/>
    <w:rsid w:val="000327A1"/>
    <w:rsid w:val="000349B7"/>
    <w:rsid w:val="00034B9E"/>
    <w:rsid w:val="00034C07"/>
    <w:rsid w:val="00035400"/>
    <w:rsid w:val="0003540B"/>
    <w:rsid w:val="000357CA"/>
    <w:rsid w:val="00035BA3"/>
    <w:rsid w:val="000377B8"/>
    <w:rsid w:val="00037A21"/>
    <w:rsid w:val="00037C88"/>
    <w:rsid w:val="00037EED"/>
    <w:rsid w:val="000404F2"/>
    <w:rsid w:val="00040781"/>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3BB"/>
    <w:rsid w:val="00061912"/>
    <w:rsid w:val="00062246"/>
    <w:rsid w:val="00062CA8"/>
    <w:rsid w:val="00063E21"/>
    <w:rsid w:val="00063F57"/>
    <w:rsid w:val="00064EA1"/>
    <w:rsid w:val="0006549C"/>
    <w:rsid w:val="0006587A"/>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1D"/>
    <w:rsid w:val="00077BAE"/>
    <w:rsid w:val="00077EB9"/>
    <w:rsid w:val="000801D8"/>
    <w:rsid w:val="00080783"/>
    <w:rsid w:val="00080890"/>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1FD2"/>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6FAF"/>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64B"/>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2DDB"/>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BC9"/>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4E5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3CC7"/>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6FD"/>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5AF"/>
    <w:rsid w:val="00500798"/>
    <w:rsid w:val="00500A59"/>
    <w:rsid w:val="00500B71"/>
    <w:rsid w:val="005015F9"/>
    <w:rsid w:val="0050169C"/>
    <w:rsid w:val="00502268"/>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3E9E"/>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6D5"/>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17FC"/>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6FB1"/>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390"/>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6773"/>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C0900"/>
    <w:rsid w:val="006C09DD"/>
    <w:rsid w:val="006C18A0"/>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1B51"/>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1CF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6D46"/>
    <w:rsid w:val="00787736"/>
    <w:rsid w:val="00787764"/>
    <w:rsid w:val="00787A55"/>
    <w:rsid w:val="00787FF1"/>
    <w:rsid w:val="00790693"/>
    <w:rsid w:val="00790843"/>
    <w:rsid w:val="007916D2"/>
    <w:rsid w:val="007918FB"/>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270A"/>
    <w:rsid w:val="008237B2"/>
    <w:rsid w:val="008252AD"/>
    <w:rsid w:val="00825752"/>
    <w:rsid w:val="008274FB"/>
    <w:rsid w:val="00827A8A"/>
    <w:rsid w:val="00830D11"/>
    <w:rsid w:val="008314F0"/>
    <w:rsid w:val="008319D3"/>
    <w:rsid w:val="00832334"/>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00"/>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39D"/>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1E41"/>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4A6"/>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D2D"/>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179C"/>
    <w:rsid w:val="009B2465"/>
    <w:rsid w:val="009B285A"/>
    <w:rsid w:val="009B2BFC"/>
    <w:rsid w:val="009B300F"/>
    <w:rsid w:val="009B3745"/>
    <w:rsid w:val="009B46E0"/>
    <w:rsid w:val="009B521B"/>
    <w:rsid w:val="009B53E0"/>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5C9"/>
    <w:rsid w:val="009C5874"/>
    <w:rsid w:val="009C6768"/>
    <w:rsid w:val="009C6894"/>
    <w:rsid w:val="009C6B3B"/>
    <w:rsid w:val="009C6B7B"/>
    <w:rsid w:val="009C6DA9"/>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1F8"/>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420"/>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658A"/>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332"/>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736"/>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07"/>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BF6"/>
    <w:rsid w:val="00DD2C54"/>
    <w:rsid w:val="00DD3430"/>
    <w:rsid w:val="00DD35A0"/>
    <w:rsid w:val="00DD3677"/>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4E19"/>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77BFF"/>
    <w:rsid w:val="00E80F43"/>
    <w:rsid w:val="00E81E66"/>
    <w:rsid w:val="00E82560"/>
    <w:rsid w:val="00E825E3"/>
    <w:rsid w:val="00E82968"/>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028"/>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8F2"/>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4E12"/>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5D00"/>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 w:type="paragraph" w:customStyle="1" w:styleId="xxmsonormal">
    <w:name w:val="x_xmsonormal"/>
    <w:basedOn w:val="Normal"/>
    <w:uiPriority w:val="99"/>
    <w:rsid w:val="0026628E"/>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rsid w:val="0026628E"/>
  </w:style>
  <w:style w:type="paragraph" w:customStyle="1" w:styleId="tal0">
    <w:name w:val="tal"/>
    <w:basedOn w:val="Normal"/>
    <w:rsid w:val="00077B1D"/>
    <w:pPr>
      <w:overflowPunct/>
      <w:autoSpaceDE/>
      <w:autoSpaceDN/>
      <w:adjustRightInd/>
      <w:spacing w:before="100" w:beforeAutospacing="1" w:after="100" w:afterAutospacing="1"/>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C4DD9-C5CB-4DA3-BE19-B9C46AEBE259}">
  <ds:schemaRefs>
    <ds:schemaRef ds:uri="http://schemas.openxmlformats.org/officeDocument/2006/bibliography"/>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19</cp:revision>
  <cp:lastPrinted>2016-09-30T01:19:00Z</cp:lastPrinted>
  <dcterms:created xsi:type="dcterms:W3CDTF">2022-08-19T04:55:00Z</dcterms:created>
  <dcterms:modified xsi:type="dcterms:W3CDTF">2022-08-19T05:09:00Z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