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a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a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a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af0"/>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af0"/>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af0"/>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af0"/>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af0"/>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af0"/>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af0"/>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af0"/>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af0"/>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af0"/>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a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a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a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af0"/>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af0"/>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af0"/>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af0"/>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af0"/>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a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162CCB" w14:paraId="30955D0D" w14:textId="77777777">
        <w:tc>
          <w:tcPr>
            <w:tcW w:w="2263" w:type="dxa"/>
          </w:tcPr>
          <w:p w14:paraId="39810815" w14:textId="77777777" w:rsidR="00162CCB" w:rsidRPr="001545B0" w:rsidRDefault="00162CCB" w:rsidP="00162CCB">
            <w:pPr>
              <w:spacing w:line="240" w:lineRule="auto"/>
              <w:jc w:val="both"/>
              <w:rPr>
                <w:lang w:eastAsia="ja-JP"/>
              </w:rPr>
            </w:pPr>
          </w:p>
        </w:tc>
        <w:tc>
          <w:tcPr>
            <w:tcW w:w="7087" w:type="dxa"/>
          </w:tcPr>
          <w:p w14:paraId="261FE4B3" w14:textId="77777777" w:rsidR="00162CCB" w:rsidRDefault="00162CCB" w:rsidP="00162CCB">
            <w:pPr>
              <w:jc w:val="both"/>
              <w:rPr>
                <w:lang w:eastAsia="ja-JP"/>
              </w:rPr>
            </w:pP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lastRenderedPageBreak/>
        <w:t>As for the solution/clarification, there are three general directions in the contributions:</w:t>
      </w:r>
    </w:p>
    <w:p w14:paraId="0E44A141"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af0"/>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af0"/>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af0"/>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af0"/>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a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af0"/>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af0"/>
              <w:numPr>
                <w:ilvl w:val="0"/>
                <w:numId w:val="8"/>
              </w:numPr>
              <w:spacing w:line="240" w:lineRule="auto"/>
              <w:ind w:leftChars="0"/>
              <w:jc w:val="both"/>
              <w:rPr>
                <w:lang w:eastAsia="ja-JP"/>
              </w:rPr>
            </w:pPr>
            <w:r>
              <w:rPr>
                <w:lang w:eastAsia="ja-JP"/>
              </w:rPr>
              <w:lastRenderedPageBreak/>
              <w:t xml:space="preserve">Whether scheduling restriction is needed </w:t>
            </w:r>
          </w:p>
          <w:p w14:paraId="751E95C9" w14:textId="77777777" w:rsidR="00E773AB" w:rsidRDefault="00A225F6">
            <w:pPr>
              <w:pStyle w:val="af0"/>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lastRenderedPageBreak/>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a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ab"/>
              <w:spacing w:beforeAutospacing="0" w:afterAutospacing="0"/>
              <w:rPr>
                <w:sz w:val="22"/>
                <w:lang w:eastAsia="ja-JP"/>
              </w:rPr>
            </w:pPr>
            <w:r>
              <w:rPr>
                <w:sz w:val="22"/>
                <w:lang w:eastAsia="ja-JP"/>
              </w:rPr>
              <w:t> </w:t>
            </w:r>
          </w:p>
          <w:p w14:paraId="53F3E7E0" w14:textId="77777777" w:rsidR="00E773AB" w:rsidRDefault="00A225F6">
            <w:pPr>
              <w:pStyle w:val="a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ab"/>
              <w:spacing w:beforeAutospacing="0" w:afterAutospacing="0"/>
              <w:rPr>
                <w:sz w:val="22"/>
                <w:lang w:eastAsia="ja-JP"/>
              </w:rPr>
            </w:pPr>
            <w:r>
              <w:rPr>
                <w:sz w:val="22"/>
                <w:lang w:eastAsia="ja-JP"/>
              </w:rPr>
              <w:t> </w:t>
            </w:r>
          </w:p>
          <w:p w14:paraId="36B3AD10" w14:textId="77777777" w:rsidR="00E773AB" w:rsidRDefault="00A225F6">
            <w:pPr>
              <w:pStyle w:val="ab"/>
              <w:spacing w:beforeAutospacing="0" w:afterAutospacing="0"/>
              <w:rPr>
                <w:sz w:val="22"/>
                <w:lang w:eastAsia="ja-JP"/>
              </w:rPr>
            </w:pPr>
            <w:r>
              <w:rPr>
                <w:sz w:val="22"/>
                <w:lang w:eastAsia="ja-JP"/>
              </w:rPr>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a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xml:space="preserve">”) were RAN4’s topics in the past. However, at this time, FL still suggests to start from RAN1 to make </w:t>
            </w:r>
            <w:r w:rsidRPr="001545B0">
              <w:rPr>
                <w:lang w:eastAsia="ja-JP"/>
              </w:rPr>
              <w:lastRenderedPageBreak/>
              <w:t>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맑은 고딕" w:hint="eastAsia"/>
                <w:lang w:eastAsia="ko-KR"/>
              </w:rPr>
            </w:pPr>
            <w:r>
              <w:rPr>
                <w:rFonts w:eastAsia="맑은 고딕" w:hint="eastAsia"/>
                <w:lang w:eastAsia="ko-KR"/>
              </w:rPr>
              <w:lastRenderedPageBreak/>
              <w:t>Samsung</w:t>
            </w:r>
          </w:p>
        </w:tc>
        <w:tc>
          <w:tcPr>
            <w:tcW w:w="7087" w:type="dxa"/>
          </w:tcPr>
          <w:p w14:paraId="1F57E94C" w14:textId="521EFDCC" w:rsidR="00162CCB" w:rsidRDefault="00162CCB" w:rsidP="00162CCB">
            <w:pPr>
              <w:jc w:val="both"/>
              <w:rPr>
                <w:lang w:eastAsia="ja-JP"/>
              </w:rPr>
            </w:pPr>
            <w:r>
              <w:rPr>
                <w:rFonts w:eastAsia="맑은 고딕" w:hint="eastAsia"/>
                <w:lang w:eastAsia="ko-KR"/>
              </w:rPr>
              <w:t xml:space="preserve">We have same view with CMCC. </w:t>
            </w:r>
            <w:r>
              <w:rPr>
                <w:rFonts w:eastAsia="맑은 고딕"/>
                <w:lang w:eastAsia="ko-KR"/>
              </w:rPr>
              <w:t>A new UE feature monitoring SSB outside in the active BWP is not needed. Enabling CSI-RS for RLM/BM/BFR</w:t>
            </w:r>
            <w:r>
              <w:rPr>
                <w:rFonts w:eastAsia="맑은 고딕"/>
                <w:lang w:eastAsia="ko-KR"/>
              </w:rPr>
              <w:t xml:space="preserve"> in the active BWP</w:t>
            </w:r>
            <w:r>
              <w:rPr>
                <w:rFonts w:eastAsia="맑은 고딕"/>
                <w:lang w:eastAsia="ko-KR"/>
              </w:rPr>
              <w:t xml:space="preserve"> is the simplest solution.</w:t>
            </w:r>
          </w:p>
        </w:tc>
      </w:tr>
    </w:tbl>
    <w:p w14:paraId="0781D397" w14:textId="77777777" w:rsidR="00E773AB" w:rsidRDefault="00E773AB">
      <w:pPr>
        <w:jc w:val="both"/>
        <w:rPr>
          <w:lang w:eastAsia="ja-JP"/>
        </w:rPr>
      </w:pPr>
    </w:p>
    <w:p w14:paraId="1A9F0659" w14:textId="77777777" w:rsidR="00E773AB" w:rsidRDefault="00A225F6">
      <w:pPr>
        <w:pStyle w:val="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af0"/>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af0"/>
        <w:numPr>
          <w:ilvl w:val="1"/>
          <w:numId w:val="7"/>
        </w:numPr>
        <w:ind w:leftChars="0"/>
        <w:jc w:val="both"/>
        <w:rPr>
          <w:lang w:eastAsia="ja-JP"/>
        </w:rPr>
      </w:pPr>
      <w:r>
        <w:rPr>
          <w:lang w:eastAsia="ja-JP"/>
        </w:rPr>
        <w:t>RLM using SSB outside active DL BWP,</w:t>
      </w:r>
    </w:p>
    <w:p w14:paraId="6DA1FA40" w14:textId="77777777" w:rsidR="00E773AB" w:rsidRDefault="00A225F6">
      <w:pPr>
        <w:pStyle w:val="af0"/>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af0"/>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af0"/>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af0"/>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af0"/>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af0"/>
        <w:numPr>
          <w:ilvl w:val="1"/>
          <w:numId w:val="7"/>
        </w:numPr>
        <w:ind w:leftChars="0"/>
        <w:jc w:val="both"/>
        <w:rPr>
          <w:b/>
          <w:bCs/>
          <w:lang w:eastAsia="ja-JP"/>
        </w:rPr>
      </w:pPr>
      <w:r>
        <w:rPr>
          <w:b/>
          <w:bCs/>
          <w:lang w:eastAsia="ja-JP"/>
        </w:rPr>
        <w:lastRenderedPageBreak/>
        <w:t>RLM using SSB outside active DL BWP,</w:t>
      </w:r>
    </w:p>
    <w:p w14:paraId="116CD0DE"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af0"/>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a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af0"/>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af0"/>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af0"/>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af0"/>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af0"/>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lastRenderedPageBreak/>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맑은 고딕" w:hint="eastAsia"/>
                <w:lang w:eastAsia="ko-KR"/>
              </w:rPr>
              <w:lastRenderedPageBreak/>
              <w:t>S</w:t>
            </w:r>
            <w:r>
              <w:rPr>
                <w:rFonts w:eastAsia="맑은 고딕"/>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맑은 고딕" w:hint="eastAsia"/>
                <w:lang w:eastAsia="ko-KR"/>
              </w:rPr>
              <w:t xml:space="preserve">Postpone after </w:t>
            </w:r>
            <w:r>
              <w:rPr>
                <w:rFonts w:eastAsia="맑은 고딕"/>
                <w:lang w:eastAsia="ko-KR"/>
              </w:rPr>
              <w:t>finalizing</w:t>
            </w:r>
            <w:r>
              <w:rPr>
                <w:rFonts w:eastAsia="맑은 고딕" w:hint="eastAsia"/>
                <w:lang w:eastAsia="ko-KR"/>
              </w:rPr>
              <w:t xml:space="preserve"> Proposal 2.</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af0"/>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af0"/>
        <w:numPr>
          <w:ilvl w:val="1"/>
          <w:numId w:val="7"/>
        </w:numPr>
        <w:ind w:leftChars="0"/>
        <w:jc w:val="both"/>
        <w:rPr>
          <w:lang w:eastAsia="ja-JP"/>
        </w:rPr>
      </w:pPr>
      <w:bookmarkStart w:id="7" w:name="_GoBack"/>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bookmarkEnd w:id="7"/>
    </w:p>
    <w:p w14:paraId="4095FDFF" w14:textId="77777777" w:rsidR="00E773AB" w:rsidRDefault="00A225F6">
      <w:pPr>
        <w:pStyle w:val="af0"/>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af0"/>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af0"/>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af0"/>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af0"/>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lastRenderedPageBreak/>
        <w:t>FL Proposal 4:</w:t>
      </w:r>
    </w:p>
    <w:p w14:paraId="395EC03F" w14:textId="77777777" w:rsidR="00E773AB" w:rsidRDefault="00A225F6">
      <w:pPr>
        <w:pStyle w:val="af0"/>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af0"/>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af0"/>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a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맑은 고딕" w:hint="eastAsia"/>
                <w:lang w:eastAsia="ko-KR"/>
              </w:rPr>
              <w:t>S</w:t>
            </w:r>
            <w:r>
              <w:rPr>
                <w:rFonts w:eastAsia="맑은 고딕"/>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맑은 고딕" w:hint="eastAsia"/>
                <w:lang w:eastAsia="ko-KR"/>
              </w:rPr>
              <w:t xml:space="preserve">Postpone after </w:t>
            </w:r>
            <w:r>
              <w:rPr>
                <w:rFonts w:eastAsia="맑은 고딕"/>
                <w:lang w:eastAsia="ko-KR"/>
              </w:rPr>
              <w:t>finalizing</w:t>
            </w:r>
            <w:r>
              <w:rPr>
                <w:rFonts w:eastAsia="맑은 고딕" w:hint="eastAsia"/>
                <w:lang w:eastAsia="ko-KR"/>
              </w:rPr>
              <w:t xml:space="preserve"> Proposal 2.</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af0"/>
        <w:numPr>
          <w:ilvl w:val="0"/>
          <w:numId w:val="7"/>
        </w:numPr>
        <w:ind w:leftChars="0"/>
        <w:jc w:val="both"/>
        <w:rPr>
          <w:b/>
          <w:bCs/>
          <w:lang w:eastAsia="ja-JP"/>
        </w:rPr>
      </w:pPr>
      <w:r>
        <w:rPr>
          <w:b/>
          <w:bCs/>
          <w:lang w:eastAsia="ja-JP"/>
        </w:rPr>
        <w:t>The new UE capability signalling is reported per-band</w:t>
      </w:r>
    </w:p>
    <w:tbl>
      <w:tblPr>
        <w:tblStyle w:val="a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lastRenderedPageBreak/>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rFonts w:hint="eastAsia"/>
                <w:lang w:eastAsia="ja-JP"/>
              </w:rPr>
            </w:pPr>
            <w:r>
              <w:rPr>
                <w:rFonts w:eastAsia="맑은 고딕" w:hint="eastAsia"/>
                <w:lang w:eastAsia="ko-KR"/>
              </w:rPr>
              <w:t>S</w:t>
            </w:r>
            <w:r>
              <w:rPr>
                <w:rFonts w:eastAsia="맑은 고딕"/>
                <w:lang w:eastAsia="ko-KR"/>
              </w:rPr>
              <w:t>amsung</w:t>
            </w:r>
          </w:p>
        </w:tc>
        <w:tc>
          <w:tcPr>
            <w:tcW w:w="7087" w:type="dxa"/>
          </w:tcPr>
          <w:p w14:paraId="203D6DD3" w14:textId="7D609590" w:rsidR="00162CCB" w:rsidRPr="00A225F6" w:rsidRDefault="00162CCB" w:rsidP="00162CCB">
            <w:pPr>
              <w:spacing w:line="240" w:lineRule="auto"/>
              <w:jc w:val="both"/>
              <w:rPr>
                <w:rFonts w:hint="eastAsia"/>
                <w:lang w:eastAsia="ja-JP"/>
              </w:rPr>
            </w:pPr>
            <w:r>
              <w:rPr>
                <w:rFonts w:eastAsia="맑은 고딕" w:hint="eastAsia"/>
                <w:lang w:eastAsia="ko-KR"/>
              </w:rPr>
              <w:t xml:space="preserve">Postpone after </w:t>
            </w:r>
            <w:r>
              <w:rPr>
                <w:rFonts w:eastAsia="맑은 고딕"/>
                <w:lang w:eastAsia="ko-KR"/>
              </w:rPr>
              <w:t>finalizing</w:t>
            </w:r>
            <w:r>
              <w:rPr>
                <w:rFonts w:eastAsia="맑은 고딕" w:hint="eastAsia"/>
                <w:lang w:eastAsia="ko-KR"/>
              </w:rPr>
              <w:t xml:space="preserve"> Proposal 2.</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1"/>
        <w:numPr>
          <w:ilvl w:val="0"/>
          <w:numId w:val="5"/>
        </w:numPr>
        <w:rPr>
          <w:lang w:eastAsia="ja-JP"/>
        </w:rPr>
      </w:pPr>
      <w:r>
        <w:rPr>
          <w:b/>
          <w:lang w:eastAsia="ja-JP"/>
        </w:rPr>
        <w:t>Reference</w:t>
      </w:r>
    </w:p>
    <w:p w14:paraId="61763147"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af0"/>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af0"/>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af0"/>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af0"/>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af0"/>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af0"/>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af0"/>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af0"/>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af0"/>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af0"/>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B271" w14:textId="77777777" w:rsidR="000F47D1" w:rsidRDefault="000F47D1">
      <w:pPr>
        <w:spacing w:line="240" w:lineRule="auto"/>
      </w:pPr>
      <w:r>
        <w:separator/>
      </w:r>
    </w:p>
  </w:endnote>
  <w:endnote w:type="continuationSeparator" w:id="0">
    <w:p w14:paraId="2FACE6F6" w14:textId="77777777" w:rsidR="000F47D1" w:rsidRDefault="000F4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C7E6" w14:textId="77777777" w:rsidR="000F47D1" w:rsidRDefault="000F47D1">
      <w:r>
        <w:separator/>
      </w:r>
    </w:p>
  </w:footnote>
  <w:footnote w:type="continuationSeparator" w:id="0">
    <w:p w14:paraId="543C6132" w14:textId="77777777" w:rsidR="000F47D1" w:rsidRDefault="000F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ttachedTemplate r:id="rId1"/>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76" w:lineRule="auto"/>
    </w:pPr>
    <w:rPr>
      <w:sz w:val="22"/>
      <w:szCs w:val="22"/>
      <w:lang w:eastAsia="en-US"/>
    </w:rPr>
  </w:style>
  <w:style w:type="paragraph" w:styleId="1">
    <w:name w:val="heading 1"/>
    <w:basedOn w:val="a0"/>
    <w:next w:val="a0"/>
    <w:link w:val="1Char"/>
    <w:uiPriority w:val="9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Char"/>
    <w:uiPriority w:val="9"/>
    <w:qFormat/>
    <w:pPr>
      <w:keepNext/>
      <w:outlineLvl w:val="1"/>
    </w:pPr>
    <w:rPr>
      <w:rFonts w:asciiTheme="majorHAnsi" w:eastAsiaTheme="majorEastAsia" w:hAnsiTheme="majorHAnsi" w:cstheme="majorBidi"/>
    </w:rPr>
  </w:style>
  <w:style w:type="paragraph" w:styleId="3">
    <w:name w:val="heading 3"/>
    <w:basedOn w:val="a0"/>
    <w:next w:val="a0"/>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0"/>
    <w:next w:val="a0"/>
    <w:link w:val="4Char"/>
    <w:uiPriority w:val="9"/>
    <w:semiHidden/>
    <w:unhideWhenUsed/>
    <w:qFormat/>
    <w:pPr>
      <w:keepNext/>
      <w:ind w:leftChars="400" w:left="400"/>
      <w:outlineLvl w:val="3"/>
    </w:pPr>
    <w:rPr>
      <w:b/>
      <w:bCs/>
    </w:rPr>
  </w:style>
  <w:style w:type="paragraph" w:styleId="5">
    <w:name w:val="heading 5"/>
    <w:basedOn w:val="a0"/>
    <w:next w:val="a0"/>
    <w:link w:val="5Char"/>
    <w:uiPriority w:val="9"/>
    <w:semiHidden/>
    <w:unhideWhenUsed/>
    <w:qFormat/>
    <w:pPr>
      <w:keepNext/>
      <w:ind w:leftChars="800" w:left="800"/>
      <w:outlineLvl w:val="4"/>
    </w:pPr>
    <w:rPr>
      <w:rFonts w:asciiTheme="majorHAnsi" w:eastAsiaTheme="majorEastAsia" w:hAnsiTheme="majorHAnsi" w:cstheme="majorBidi"/>
    </w:rPr>
  </w:style>
  <w:style w:type="paragraph" w:styleId="8">
    <w:name w:val="heading 8"/>
    <w:basedOn w:val="1"/>
    <w:next w:val="a0"/>
    <w:link w:val="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basedOn w:val="8"/>
    <w:next w:val="a0"/>
    <w:link w:val="9Char"/>
    <w:uiPriority w:val="9"/>
    <w:qFormat/>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Chars="400" w:left="100" w:hangingChars="200" w:hanging="200"/>
      <w:contextualSpacing/>
    </w:pPr>
  </w:style>
  <w:style w:type="paragraph" w:styleId="a4">
    <w:name w:val="caption"/>
    <w:basedOn w:val="a0"/>
    <w:next w:val="a0"/>
    <w:link w:val="Char"/>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a">
    <w:name w:val="List Bullet"/>
    <w:basedOn w:val="a0"/>
    <w:uiPriority w:val="99"/>
    <w:unhideWhenUsed/>
    <w:pPr>
      <w:numPr>
        <w:numId w:val="1"/>
      </w:numPr>
      <w:contextualSpacing/>
    </w:pPr>
  </w:style>
  <w:style w:type="paragraph" w:styleId="a5">
    <w:name w:val="annotation text"/>
    <w:basedOn w:val="a0"/>
    <w:link w:val="Char0"/>
    <w:uiPriority w:val="99"/>
    <w:unhideWhenUsed/>
    <w:qFormat/>
    <w:pPr>
      <w:spacing w:line="240" w:lineRule="auto"/>
    </w:pPr>
    <w:rPr>
      <w:sz w:val="20"/>
      <w:szCs w:val="20"/>
    </w:rPr>
  </w:style>
  <w:style w:type="paragraph" w:styleId="a6">
    <w:name w:val="Body Text"/>
    <w:basedOn w:val="a0"/>
    <w:link w:val="Char1"/>
    <w:pPr>
      <w:spacing w:after="120" w:line="240" w:lineRule="auto"/>
      <w:ind w:left="720" w:hanging="720"/>
      <w:jc w:val="both"/>
    </w:pPr>
    <w:rPr>
      <w:rFonts w:ascii="Times" w:eastAsia="바탕" w:hAnsi="Times" w:cs="Times New Roman"/>
      <w:sz w:val="20"/>
      <w:szCs w:val="24"/>
      <w:lang w:val="en-GB" w:eastAsia="zh-CN"/>
    </w:rPr>
  </w:style>
  <w:style w:type="paragraph" w:styleId="a7">
    <w:name w:val="Balloon Text"/>
    <w:basedOn w:val="a0"/>
    <w:link w:val="Char2"/>
    <w:uiPriority w:val="99"/>
    <w:semiHidden/>
    <w:unhideWhenUsed/>
    <w:pPr>
      <w:spacing w:line="240" w:lineRule="auto"/>
    </w:pPr>
    <w:rPr>
      <w:rFonts w:asciiTheme="majorHAnsi" w:eastAsiaTheme="majorEastAsia" w:hAnsiTheme="majorHAnsi" w:cstheme="majorBidi"/>
      <w:sz w:val="18"/>
      <w:szCs w:val="18"/>
    </w:rPr>
  </w:style>
  <w:style w:type="paragraph" w:styleId="a8">
    <w:name w:val="footer"/>
    <w:basedOn w:val="a0"/>
    <w:link w:val="Char3"/>
    <w:uiPriority w:val="99"/>
    <w:unhideWhenUsed/>
    <w:pPr>
      <w:tabs>
        <w:tab w:val="center" w:pos="4252"/>
        <w:tab w:val="right" w:pos="8504"/>
      </w:tabs>
      <w:snapToGrid w:val="0"/>
    </w:pPr>
  </w:style>
  <w:style w:type="paragraph" w:styleId="a9">
    <w:name w:val="header"/>
    <w:basedOn w:val="a0"/>
    <w:link w:val="Char4"/>
    <w:uiPriority w:val="99"/>
    <w:unhideWhenUsed/>
    <w:pPr>
      <w:tabs>
        <w:tab w:val="center" w:pos="4252"/>
        <w:tab w:val="right" w:pos="8504"/>
      </w:tabs>
      <w:snapToGrid w:val="0"/>
    </w:pPr>
  </w:style>
  <w:style w:type="paragraph" w:styleId="aa">
    <w:name w:val="List"/>
    <w:basedOn w:val="a0"/>
    <w:uiPriority w:val="99"/>
    <w:semiHidden/>
    <w:unhideWhenUsed/>
    <w:pPr>
      <w:ind w:left="200" w:hangingChars="200" w:hanging="200"/>
      <w:contextualSpacing/>
    </w:pPr>
  </w:style>
  <w:style w:type="paragraph" w:styleId="ab">
    <w:name w:val="Normal (Web)"/>
    <w:basedOn w:val="a0"/>
    <w:uiPriority w:val="99"/>
    <w:semiHidden/>
    <w:unhideWhenUsed/>
    <w:pPr>
      <w:spacing w:beforeAutospacing="1" w:afterAutospacing="1"/>
    </w:pPr>
    <w:rPr>
      <w:rFonts w:cs="Times New Roman"/>
      <w:sz w:val="24"/>
      <w:lang w:eastAsia="zh-CN"/>
    </w:rPr>
  </w:style>
  <w:style w:type="paragraph" w:styleId="ac">
    <w:name w:val="annotation subject"/>
    <w:basedOn w:val="a5"/>
    <w:next w:val="a5"/>
    <w:link w:val="Char5"/>
    <w:uiPriority w:val="99"/>
    <w:semiHidden/>
    <w:unhideWhenUsed/>
    <w:rPr>
      <w:b/>
      <w:bCs/>
    </w:rPr>
  </w:style>
  <w:style w:type="table" w:styleId="ad">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Pr>
      <w:color w:val="0563C1"/>
      <w:u w:val="single"/>
    </w:rPr>
  </w:style>
  <w:style w:type="character" w:styleId="af">
    <w:name w:val="annotation reference"/>
    <w:basedOn w:val="a1"/>
    <w:unhideWhenUsed/>
    <w:qFormat/>
    <w:rPr>
      <w:sz w:val="16"/>
      <w:szCs w:val="16"/>
    </w:rPr>
  </w:style>
  <w:style w:type="paragraph" w:styleId="af0">
    <w:name w:val="List Paragraph"/>
    <w:aliases w:val="- Bullets,?? ??,?????,????,Lista1,列出段落1,中等深浅网格 1 - 着色 21,列表段落,¥¡¡¡¡ì¬º¥¹¥È¶ÎÂä,ÁÐ³ö¶ÎÂä,列表段落1,—ño’i—Ž,¥ê¥¹¥È¶ÎÂä,リスト段落,1st level - Bullet List Paragraph,Lettre d'introduction,Paragrafo elenco,Normal bullet 2,Bullet list,列出段落,列表段落11"/>
    <w:basedOn w:val="a0"/>
    <w:link w:val="Char6"/>
    <w:uiPriority w:val="34"/>
    <w:qFormat/>
    <w:pPr>
      <w:ind w:leftChars="400" w:left="840"/>
    </w:pPr>
  </w:style>
  <w:style w:type="paragraph" w:customStyle="1" w:styleId="TAH">
    <w:name w:val="TAH"/>
    <w:basedOn w:val="TAC"/>
    <w:link w:val="TAHCar"/>
    <w:qFormat/>
    <w:rPr>
      <w:b/>
    </w:rPr>
  </w:style>
  <w:style w:type="paragraph" w:customStyle="1" w:styleId="TAC">
    <w:name w:val="TAC"/>
    <w:basedOn w:val="a0"/>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1Char">
    <w:name w:val="제목 1 Char"/>
    <w:basedOn w:val="a1"/>
    <w:link w:val="1"/>
    <w:uiPriority w:val="99"/>
    <w:qFormat/>
    <w:rPr>
      <w:rFonts w:asciiTheme="majorHAnsi" w:eastAsiaTheme="majorEastAsia" w:hAnsiTheme="majorHAnsi" w:cstheme="majorBidi"/>
      <w:sz w:val="24"/>
      <w:szCs w:val="24"/>
    </w:rPr>
  </w:style>
  <w:style w:type="character" w:customStyle="1" w:styleId="Char2">
    <w:name w:val="풍선 도움말 텍스트 Char"/>
    <w:basedOn w:val="a1"/>
    <w:link w:val="a7"/>
    <w:uiPriority w:val="99"/>
    <w:semiHidden/>
    <w:rPr>
      <w:rFonts w:asciiTheme="majorHAnsi" w:eastAsiaTheme="majorEastAsia" w:hAnsiTheme="majorHAnsi" w:cstheme="majorBidi"/>
      <w:sz w:val="18"/>
      <w:szCs w:val="18"/>
    </w:rPr>
  </w:style>
  <w:style w:type="character" w:customStyle="1" w:styleId="10">
    <w:name w:val="未解決のメンション1"/>
    <w:basedOn w:val="a1"/>
    <w:uiPriority w:val="99"/>
    <w:semiHidden/>
    <w:unhideWhenUsed/>
    <w:rPr>
      <w:color w:val="808080"/>
      <w:shd w:val="clear" w:color="auto" w:fill="E6E6E6"/>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Char4">
    <w:name w:val="머리글 Char"/>
    <w:basedOn w:val="a1"/>
    <w:link w:val="a9"/>
    <w:uiPriority w:val="99"/>
  </w:style>
  <w:style w:type="character" w:customStyle="1" w:styleId="Char3">
    <w:name w:val="바닥글 Char"/>
    <w:basedOn w:val="a1"/>
    <w:link w:val="a8"/>
    <w:uiPriority w:val="99"/>
  </w:style>
  <w:style w:type="character" w:styleId="af1">
    <w:name w:val="Placeholder Text"/>
    <w:basedOn w:val="a1"/>
    <w:uiPriority w:val="99"/>
    <w:semiHidden/>
    <w:rPr>
      <w:color w:val="808080"/>
    </w:rPr>
  </w:style>
  <w:style w:type="character" w:customStyle="1" w:styleId="2Char">
    <w:name w:val="제목 2 Char"/>
    <w:basedOn w:val="a1"/>
    <w:link w:val="2"/>
    <w:uiPriority w:val="9"/>
    <w:rPr>
      <w:rFonts w:asciiTheme="majorHAnsi" w:eastAsiaTheme="majorEastAsia" w:hAnsiTheme="majorHAnsi" w:cstheme="majorBidi"/>
    </w:rPr>
  </w:style>
  <w:style w:type="character" w:customStyle="1" w:styleId="3Char">
    <w:name w:val="제목 3 Char"/>
    <w:basedOn w:val="a1"/>
    <w:link w:val="3"/>
    <w:uiPriority w:val="9"/>
    <w:rPr>
      <w:rFonts w:asciiTheme="majorHAnsi" w:eastAsiaTheme="majorEastAsia" w:hAnsiTheme="majorHAnsi" w:cstheme="majorBidi"/>
    </w:rPr>
  </w:style>
  <w:style w:type="character" w:customStyle="1" w:styleId="4Char">
    <w:name w:val="제목 4 Char"/>
    <w:basedOn w:val="a1"/>
    <w:link w:val="4"/>
    <w:uiPriority w:val="9"/>
    <w:semiHidden/>
    <w:rPr>
      <w:b/>
      <w:bCs/>
    </w:rPr>
  </w:style>
  <w:style w:type="character" w:customStyle="1" w:styleId="UnresolvedMention1">
    <w:name w:val="Unresolved Mention1"/>
    <w:basedOn w:val="a1"/>
    <w:uiPriority w:val="99"/>
    <w:semiHidden/>
    <w:unhideWhenUsed/>
    <w:rPr>
      <w:color w:val="808080"/>
      <w:shd w:val="clear" w:color="auto" w:fill="E6E6E6"/>
    </w:rPr>
  </w:style>
  <w:style w:type="character" w:customStyle="1" w:styleId="Char0">
    <w:name w:val="메모 텍스트 Char"/>
    <w:basedOn w:val="a1"/>
    <w:link w:val="a5"/>
    <w:uiPriority w:val="99"/>
    <w:qFormat/>
    <w:rPr>
      <w:sz w:val="20"/>
      <w:szCs w:val="20"/>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列出段落 Char"/>
    <w:link w:val="af0"/>
    <w:uiPriority w:val="34"/>
    <w:qFormat/>
    <w:locked/>
  </w:style>
  <w:style w:type="character" w:customStyle="1" w:styleId="11">
    <w:name w:val="リスト段落 (文字)1"/>
    <w:uiPriority w:val="34"/>
    <w:qFormat/>
    <w:rPr>
      <w:rFonts w:ascii="Times" w:hAnsi="Times"/>
      <w:szCs w:val="24"/>
      <w:lang w:val="en-GB"/>
    </w:rPr>
  </w:style>
  <w:style w:type="character" w:customStyle="1" w:styleId="Char1">
    <w:name w:val="본문 Char"/>
    <w:basedOn w:val="a1"/>
    <w:link w:val="a6"/>
    <w:rPr>
      <w:rFonts w:ascii="Times" w:eastAsia="바탕" w:hAnsi="Times" w:cs="Times New Roman"/>
      <w:sz w:val="20"/>
      <w:szCs w:val="24"/>
      <w:lang w:val="en-GB" w:eastAsia="zh-CN"/>
    </w:rPr>
  </w:style>
  <w:style w:type="paragraph" w:customStyle="1" w:styleId="12">
    <w:name w:val="変更箇所1"/>
    <w:hidden/>
    <w:uiPriority w:val="99"/>
    <w:semiHidden/>
    <w:rPr>
      <w:sz w:val="22"/>
      <w:szCs w:val="22"/>
      <w:lang w:eastAsia="en-US"/>
    </w:rPr>
  </w:style>
  <w:style w:type="character" w:customStyle="1" w:styleId="5Char">
    <w:name w:val="제목 5 Char"/>
    <w:basedOn w:val="a1"/>
    <w:link w:val="5"/>
    <w:uiPriority w:val="9"/>
    <w:semiHidden/>
    <w:rPr>
      <w:rFonts w:asciiTheme="majorHAnsi" w:eastAsiaTheme="majorEastAsia" w:hAnsiTheme="majorHAnsi" w:cstheme="majorBidi"/>
    </w:rPr>
  </w:style>
  <w:style w:type="paragraph" w:customStyle="1" w:styleId="B1">
    <w:name w:val="B1"/>
    <w:basedOn w:val="aa"/>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8Char">
    <w:name w:val="제목 8 Char"/>
    <w:basedOn w:val="a1"/>
    <w:link w:val="8"/>
    <w:uiPriority w:val="9"/>
    <w:rPr>
      <w:rFonts w:ascii="Arial" w:eastAsia="SimSun" w:hAnsi="Arial" w:cs="Times New Roman"/>
      <w:sz w:val="36"/>
      <w:szCs w:val="20"/>
      <w:lang w:val="en-GB"/>
    </w:rPr>
  </w:style>
  <w:style w:type="character" w:customStyle="1" w:styleId="9Char">
    <w:name w:val="제목 9 Char"/>
    <w:basedOn w:val="a1"/>
    <w:link w:val="9"/>
    <w:uiPriority w:val="9"/>
    <w:rPr>
      <w:rFonts w:ascii="Arial" w:eastAsia="SimSun" w:hAnsi="Arial" w:cs="Times New Roman"/>
      <w:sz w:val="36"/>
      <w:szCs w:val="20"/>
      <w:lang w:val="en-GB"/>
    </w:rPr>
  </w:style>
  <w:style w:type="character" w:customStyle="1" w:styleId="Char">
    <w:name w:val="캡션 Char"/>
    <w:link w:val="a4"/>
    <w:uiPriority w:val="35"/>
    <w:rPr>
      <w:rFonts w:ascii="Times New Roman" w:eastAsia="SimSun" w:hAnsi="Times New Roman" w:cs="Times New Roman"/>
      <w:b/>
      <w:bCs/>
      <w:sz w:val="20"/>
      <w:szCs w:val="20"/>
    </w:rPr>
  </w:style>
  <w:style w:type="table" w:customStyle="1" w:styleId="13">
    <w:name w:val="表 (格子)1"/>
    <w:basedOn w:val="a2"/>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a0"/>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a0"/>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1"/>
  </w:style>
  <w:style w:type="paragraph" w:customStyle="1" w:styleId="m-5714614678754178550msolistparagraph">
    <w:name w:val="m_-5714614678754178550msolistparagraph"/>
    <w:basedOn w:val="a0"/>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har5">
    <w:name w:val="메모 주제 Char"/>
    <w:basedOn w:val="Char0"/>
    <w:link w:val="ac"/>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a6"/>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a0"/>
    <w:next w:val="a0"/>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0"/>
    <w:link w:val="TALCar"/>
    <w:qFormat/>
    <w:pPr>
      <w:keepNext/>
      <w:keepLines/>
      <w:spacing w:line="240" w:lineRule="auto"/>
    </w:pPr>
    <w:rPr>
      <w:rFonts w:ascii="Arial" w:eastAsia="맑은 고딕" w:hAnsi="Arial" w:cs="Times New Roman"/>
      <w:sz w:val="18"/>
      <w:szCs w:val="20"/>
      <w:lang w:val="en-GB"/>
    </w:rPr>
  </w:style>
  <w:style w:type="character" w:customStyle="1" w:styleId="TALCar">
    <w:name w:val="TAL Car"/>
    <w:link w:val="TAL"/>
    <w:qFormat/>
    <w:rPr>
      <w:rFonts w:ascii="Arial" w:eastAsia="맑은 고딕"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69651-39A2-4FC3-A58A-CB0908FB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7</TotalTime>
  <Pages>13</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samsung</cp:lastModifiedBy>
  <cp:revision>3</cp:revision>
  <dcterms:created xsi:type="dcterms:W3CDTF">2022-08-23T13:33:00Z</dcterms:created>
  <dcterms:modified xsi:type="dcterms:W3CDTF">2022-08-23T13:44:00Z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