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 xml:space="preserve">/NB-IoT, would it be useful for NG-RAN to receive from 5GC information on NR UE capabilities (e.g.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344EECCE" w14:textId="6E744943" w:rsidR="008400BA" w:rsidRPr="00321793"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w:t>
      </w:r>
      <w:proofErr w:type="gramStart"/>
      <w:r>
        <w:rPr>
          <w:lang w:val="en-GB" w:eastAsia="zh-CN"/>
        </w:rPr>
        <w:t>configures</w:t>
      </w:r>
      <w:proofErr w:type="gramEnd"/>
      <w:r>
        <w:rPr>
          <w:lang w:val="en-GB" w:eastAsia="zh-CN"/>
        </w:rPr>
        <w:t xml:space="preserve">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w:t>
      </w:r>
      <w:proofErr w:type="gramStart"/>
      <w:r>
        <w:rPr>
          <w:rFonts w:hint="eastAsia"/>
          <w:lang w:eastAsia="zh-CN"/>
        </w:rPr>
        <w:t>contains</w:t>
      </w:r>
      <w:proofErr w:type="gramEnd"/>
      <w:r>
        <w:rPr>
          <w:rFonts w:hint="eastAsia"/>
          <w:lang w:eastAsia="zh-CN"/>
        </w:rPr>
        <w:t xml:space="preserve">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 xml:space="preserve">NG-RAN to receive from 5GC information on NR UE capabilities (e.g.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proofErr w:type="gramStart"/>
      <w:r w:rsidR="00661707">
        <w:rPr>
          <w:lang w:eastAsia="x-none"/>
        </w:rPr>
        <w:t>are capable of receiving</w:t>
      </w:r>
      <w:proofErr w:type="gramEnd"/>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 xml:space="preserve">Negative impacts on non-Redcap UEs. Since broadcast is for all UEs under this cell, if we allow Redcap UEs to support MBS, it means the CFR </w:t>
            </w:r>
            <w:proofErr w:type="gramStart"/>
            <w:r>
              <w:rPr>
                <w:sz w:val="21"/>
                <w:szCs w:val="21"/>
                <w:lang w:eastAsia="zh-CN"/>
              </w:rPr>
              <w:t>has to</w:t>
            </w:r>
            <w:proofErr w:type="gramEnd"/>
            <w:r>
              <w:rPr>
                <w:sz w:val="21"/>
                <w:szCs w:val="21"/>
                <w:lang w:eastAsia="zh-CN"/>
              </w:rPr>
              <w:t xml:space="preserve">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 xml:space="preserve">Relationship between CFR for MBS and separate initial BWP for Redcap UEs. The CFR </w:t>
            </w:r>
            <w:proofErr w:type="gramStart"/>
            <w:r>
              <w:rPr>
                <w:sz w:val="21"/>
                <w:szCs w:val="21"/>
                <w:lang w:eastAsia="zh-CN"/>
              </w:rPr>
              <w:t>has to</w:t>
            </w:r>
            <w:proofErr w:type="gramEnd"/>
            <w:r>
              <w:rPr>
                <w:sz w:val="21"/>
                <w:szCs w:val="21"/>
                <w:lang w:eastAsia="zh-CN"/>
              </w:rPr>
              <w:t xml:space="preserve">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BodyText"/>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BodyText"/>
              <w:spacing w:beforeLines="50" w:before="120"/>
              <w:jc w:val="both"/>
              <w:rPr>
                <w:sz w:val="21"/>
                <w:szCs w:val="21"/>
                <w:lang w:eastAsia="zh-CN"/>
              </w:rPr>
            </w:pPr>
            <w:r>
              <w:rPr>
                <w:sz w:val="21"/>
                <w:szCs w:val="21"/>
                <w:lang w:eastAsia="zh-CN"/>
              </w:rPr>
              <w:t xml:space="preserve">RAN1 is not the right group to discuss the scope of the WID scope and </w:t>
            </w:r>
            <w:proofErr w:type="gramStart"/>
            <w:r>
              <w:rPr>
                <w:sz w:val="21"/>
                <w:szCs w:val="21"/>
                <w:lang w:eastAsia="zh-CN"/>
              </w:rPr>
              <w:t>it is clear that RAN1</w:t>
            </w:r>
            <w:proofErr w:type="gramEnd"/>
            <w:r>
              <w:rPr>
                <w:sz w:val="21"/>
                <w:szCs w:val="21"/>
                <w:lang w:eastAsia="zh-CN"/>
              </w:rPr>
              <w:t xml:space="preserve">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BodyText"/>
              <w:spacing w:beforeLines="50" w:before="120"/>
              <w:jc w:val="both"/>
              <w:rPr>
                <w:rFonts w:hint="eastAsia"/>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BodyText"/>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BodyText"/>
              <w:spacing w:beforeLines="50" w:before="120"/>
              <w:jc w:val="both"/>
              <w:rPr>
                <w:sz w:val="21"/>
                <w:szCs w:val="21"/>
                <w:lang w:eastAsia="zh-CN"/>
              </w:rPr>
            </w:pPr>
            <w:r w:rsidRPr="00324FED">
              <w:rPr>
                <w:sz w:val="21"/>
                <w:szCs w:val="21"/>
                <w:lang w:eastAsia="zh-CN"/>
              </w:rPr>
              <w:t xml:space="preserve">We </w:t>
            </w:r>
            <w:r>
              <w:rPr>
                <w:sz w:val="21"/>
                <w:szCs w:val="21"/>
                <w:lang w:eastAsia="zh-CN"/>
              </w:rPr>
              <w:t xml:space="preserve">don’t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w:t>
            </w:r>
            <w:proofErr w:type="gramStart"/>
            <w:r>
              <w:rPr>
                <w:sz w:val="21"/>
                <w:szCs w:val="21"/>
                <w:lang w:eastAsia="zh-CN"/>
              </w:rPr>
              <w:t>has to</w:t>
            </w:r>
            <w:proofErr w:type="gramEnd"/>
            <w:r>
              <w:rPr>
                <w:sz w:val="21"/>
                <w:szCs w:val="21"/>
                <w:lang w:eastAsia="zh-CN"/>
              </w:rPr>
              <w:t xml:space="preserve">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can’t be supported.</w:t>
            </w:r>
          </w:p>
          <w:p w14:paraId="642D94B1" w14:textId="4510258B" w:rsidR="00324FED" w:rsidRPr="00324FED" w:rsidRDefault="0007618B" w:rsidP="00324FED">
            <w:pPr>
              <w:pStyle w:val="BodyText"/>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bl>
    <w:p w14:paraId="2CB94614" w14:textId="77777777" w:rsidR="0021010C" w:rsidRDefault="0021010C" w:rsidP="00BB5C81">
      <w:pPr>
        <w:pStyle w:val="BodyText"/>
        <w:spacing w:beforeLines="50" w:before="120"/>
        <w:jc w:val="both"/>
        <w:rPr>
          <w:sz w:val="21"/>
          <w:szCs w:val="21"/>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 xml:space="preserve">/NB-IoT, would it be useful for NG-RAN to receive from 5GC information on NR UE capabilities (e.g.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3"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 xml:space="preserve">be useful for NG-RAN to receive from 5GC information on NR UE capabilities (e.g.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3"/>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4"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4"/>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gNB is not aware of whether the MBS services transmission provided by gNB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gNB can configure resources with a smaller bandwidth for reception by all UE types. Nevertheless, it might be useful for NG-RAN to receive from 5GC information on NR UE capabilities, based on which gNB might be able to configure the resources for broadcast transmission more efficiently.</w:t>
      </w:r>
    </w:p>
    <w:p w14:paraId="0B444D57" w14:textId="1A1C0B68" w:rsidR="00B56913" w:rsidRDefault="00B56913" w:rsidP="00B56913">
      <w:pPr>
        <w:rPr>
          <w:lang w:val="en-GB" w:eastAsia="zh-CN"/>
        </w:rPr>
      </w:pPr>
      <w:r>
        <w:rPr>
          <w:lang w:val="en-GB" w:eastAsia="zh-CN"/>
        </w:rPr>
        <w:lastRenderedPageBreak/>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r>
        <w:t>gNB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r w:rsidR="007C6BAD" w:rsidRPr="00E55B56">
        <w:rPr>
          <w:sz w:val="21"/>
          <w:szCs w:val="21"/>
          <w:lang w:val="en-US" w:eastAsia="zh-CN"/>
        </w:rPr>
        <w:t>gNB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it is useful for NG-RAN to receive from 5GC information on NR UE capabilities (</w:t>
      </w:r>
      <w:proofErr w:type="gramStart"/>
      <w:r w:rsidR="005D71FD" w:rsidRPr="005D71FD">
        <w:rPr>
          <w:sz w:val="21"/>
          <w:szCs w:val="21"/>
          <w:lang w:val="en-US" w:eastAsia="zh-CN"/>
        </w:rPr>
        <w:t>e.g.</w:t>
      </w:r>
      <w:proofErr w:type="gramEnd"/>
      <w:r w:rsidR="005D71FD" w:rsidRPr="005D71FD">
        <w:rPr>
          <w:sz w:val="21"/>
          <w:szCs w:val="21"/>
          <w:lang w:val="en-US" w:eastAsia="zh-CN"/>
        </w:rPr>
        <w:t xml:space="preserve">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 xml:space="preserve">for NG-RAN to receive from 5GC information on NR UE capabilities (e.g.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BodyText"/>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BodyText"/>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BodyText"/>
              <w:spacing w:beforeLines="50" w:before="120"/>
              <w:jc w:val="both"/>
              <w:rPr>
                <w:rFonts w:hint="eastAsia"/>
                <w:sz w:val="21"/>
                <w:szCs w:val="21"/>
                <w:lang w:eastAsia="zh-CN"/>
              </w:rPr>
            </w:pPr>
            <w:r>
              <w:rPr>
                <w:sz w:val="21"/>
                <w:szCs w:val="21"/>
                <w:lang w:eastAsia="zh-CN"/>
              </w:rPr>
              <w:t>Lenovo</w:t>
            </w:r>
          </w:p>
        </w:tc>
        <w:tc>
          <w:tcPr>
            <w:tcW w:w="7791" w:type="dxa"/>
          </w:tcPr>
          <w:p w14:paraId="66905FCC" w14:textId="267C5C9E" w:rsidR="0007618B" w:rsidRDefault="0007618B" w:rsidP="005A18EA">
            <w:pPr>
              <w:pStyle w:val="BodyText"/>
              <w:spacing w:beforeLines="50" w:before="120"/>
              <w:jc w:val="both"/>
              <w:rPr>
                <w:sz w:val="21"/>
                <w:szCs w:val="21"/>
                <w:lang w:eastAsia="zh-CN"/>
              </w:rPr>
            </w:pPr>
            <w:r>
              <w:rPr>
                <w:sz w:val="21"/>
                <w:szCs w:val="21"/>
                <w:lang w:eastAsia="zh-CN"/>
              </w:rPr>
              <w:t>Agree with MediaTek</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lastRenderedPageBreak/>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gNB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gNB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 xml:space="preserve">Huawei, </w:t>
      </w:r>
      <w:proofErr w:type="spellStart"/>
      <w:r>
        <w:rPr>
          <w:lang w:eastAsia="zh-CN"/>
        </w:rPr>
        <w:t>HiSilicon</w:t>
      </w:r>
      <w:proofErr w:type="spellEnd"/>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for the gNB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(Sidelink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lastRenderedPageBreak/>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Optional with capability signaling</w:t>
            </w:r>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34310" w14:textId="77777777" w:rsidR="009672F9" w:rsidRDefault="009672F9">
      <w:pPr>
        <w:spacing w:after="0" w:line="240" w:lineRule="auto"/>
      </w:pPr>
      <w:r>
        <w:separator/>
      </w:r>
    </w:p>
  </w:endnote>
  <w:endnote w:type="continuationSeparator" w:id="0">
    <w:p w14:paraId="2EB2FA26" w14:textId="77777777" w:rsidR="009672F9" w:rsidRDefault="0096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B3510">
      <w:rPr>
        <w:rFonts w:ascii="Arial" w:hAnsi="Arial" w:cs="Arial"/>
        <w:b/>
        <w:noProof/>
        <w:sz w:val="18"/>
        <w:szCs w:val="18"/>
      </w:rPr>
      <w:t>6</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A3449" w14:textId="77777777" w:rsidR="009672F9" w:rsidRDefault="009672F9">
      <w:pPr>
        <w:spacing w:after="0" w:line="240" w:lineRule="auto"/>
      </w:pPr>
      <w:r>
        <w:separator/>
      </w:r>
    </w:p>
  </w:footnote>
  <w:footnote w:type="continuationSeparator" w:id="0">
    <w:p w14:paraId="542579F6" w14:textId="77777777" w:rsidR="009672F9" w:rsidRDefault="00967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3"/>
  </w:num>
  <w:num w:numId="3">
    <w:abstractNumId w:val="1"/>
  </w:num>
  <w:num w:numId="4">
    <w:abstractNumId w:val="12"/>
  </w:num>
  <w:num w:numId="5">
    <w:abstractNumId w:val="11"/>
  </w:num>
  <w:num w:numId="6">
    <w:abstractNumId w:val="5"/>
  </w:num>
  <w:num w:numId="7">
    <w:abstractNumId w:val="4"/>
  </w:num>
  <w:num w:numId="8">
    <w:abstractNumId w:val="1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5"/>
  </w:num>
  <w:num w:numId="11">
    <w:abstractNumId w:val="14"/>
  </w:num>
  <w:num w:numId="12">
    <w:abstractNumId w:val="17"/>
  </w:num>
  <w:num w:numId="13">
    <w:abstractNumId w:val="9"/>
  </w:num>
  <w:num w:numId="14">
    <w:abstractNumId w:val="16"/>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41CF"/>
    <w:rsid w:val="0083438A"/>
    <w:rsid w:val="0083451B"/>
    <w:rsid w:val="0083461E"/>
    <w:rsid w:val="0083464E"/>
    <w:rsid w:val="008346C9"/>
    <w:rsid w:val="00834BAC"/>
    <w:rsid w:val="008352E7"/>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5D87"/>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D2B29-A0A7-4F19-80A4-8C22F45B5B1A}">
  <ds:schemaRefs>
    <ds:schemaRef ds:uri="http://schemas.openxmlformats.org/officeDocument/2006/bibliography"/>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21</TotalTime>
  <Pages>8</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Haipeng HP1 Lei</cp:lastModifiedBy>
  <cp:revision>3</cp:revision>
  <cp:lastPrinted>2004-04-14T09:17:00Z</cp:lastPrinted>
  <dcterms:created xsi:type="dcterms:W3CDTF">2022-05-10T01:47:00Z</dcterms:created>
  <dcterms:modified xsi:type="dcterms:W3CDTF">2022-05-10T02:06:00Z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